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Calibri" w:hAnsi="Calibri" w:eastAsia="宋体" w:cs="Times New Roman"/>
          <w:b/>
          <w:bCs/>
          <w:sz w:val="28"/>
          <w:szCs w:val="28"/>
          <w:lang w:val="en-US" w:eastAsia="zh-CN"/>
        </w:rPr>
      </w:pPr>
      <w:r>
        <w:rPr>
          <w:rFonts w:hint="eastAsia" w:ascii="Calibri" w:hAnsi="Calibri" w:eastAsia="宋体" w:cs="Times New Roman"/>
          <w:b/>
          <w:bCs/>
          <w:sz w:val="28"/>
          <w:szCs w:val="28"/>
          <w:lang w:eastAsia="zh-CN"/>
        </w:rPr>
        <w:t>液相色谱串联</w:t>
      </w:r>
      <w:r>
        <w:rPr>
          <w:rFonts w:hint="eastAsia" w:ascii="Calibri" w:hAnsi="Calibri" w:eastAsia="宋体" w:cs="Times New Roman"/>
          <w:b/>
          <w:bCs/>
          <w:sz w:val="28"/>
          <w:szCs w:val="28"/>
        </w:rPr>
        <w:t>质谱</w:t>
      </w:r>
      <w:r>
        <w:rPr>
          <w:rFonts w:hint="eastAsia" w:ascii="Calibri" w:hAnsi="Calibri" w:eastAsia="宋体" w:cs="Times New Roman"/>
          <w:b/>
          <w:bCs/>
          <w:sz w:val="28"/>
          <w:szCs w:val="28"/>
          <w:lang w:val="en-US" w:eastAsia="zh-CN"/>
        </w:rPr>
        <w:t>基本需求</w:t>
      </w:r>
    </w:p>
    <w:p>
      <w:pPr>
        <w:pStyle w:val="5"/>
        <w:numPr>
          <w:ilvl w:val="0"/>
          <w:numId w:val="0"/>
        </w:numPr>
        <w:rPr>
          <w:rFonts w:hint="eastAsia" w:ascii="Calibri" w:hAnsi="Calibri" w:eastAsia="宋体" w:cs="Times New Roman"/>
          <w:b/>
          <w:bCs/>
          <w:sz w:val="28"/>
          <w:szCs w:val="28"/>
          <w:lang w:val="en-US" w:eastAsia="zh-CN"/>
        </w:rPr>
      </w:pPr>
      <w:r>
        <w:rPr>
          <w:rFonts w:hint="eastAsia" w:ascii="Calibri" w:hAnsi="Calibri" w:eastAsia="宋体" w:cs="Times New Roman"/>
          <w:b/>
          <w:bCs/>
          <w:sz w:val="28"/>
          <w:szCs w:val="28"/>
          <w:lang w:val="en-US" w:eastAsia="zh-CN"/>
        </w:rPr>
        <w:t>一、主要用途：</w:t>
      </w:r>
    </w:p>
    <w:p>
      <w:pPr>
        <w:pStyle w:val="5"/>
        <w:numPr>
          <w:ilvl w:val="0"/>
          <w:numId w:val="0"/>
        </w:numPr>
        <w:rPr>
          <w:rFonts w:hint="eastAsia" w:ascii="宋体" w:hAnsi="宋体" w:eastAsia="宋体" w:cs="宋体"/>
          <w:spacing w:val="-3"/>
          <w:sz w:val="21"/>
          <w:szCs w:val="21"/>
        </w:rPr>
      </w:pPr>
      <w:r>
        <w:rPr>
          <w:rFonts w:hint="eastAsia" w:ascii="宋体" w:hAnsi="宋体" w:eastAsia="宋体" w:cs="宋体"/>
          <w:spacing w:val="-3"/>
          <w:sz w:val="21"/>
          <w:szCs w:val="21"/>
        </w:rPr>
        <w:t>基于液相色谱-质谱联用技术，以液相色谱作为分离系统，质谱作为检测系统，与适配试剂配套使用，在临床上对来源于人体血液样本中的无机或有机化合物进行定性或定量检测，包括诊断的指示物（内源性物质：氨基酸、维生素、激素）和治疗监控化合物（外源性物质：治疗/毒性药物）。</w:t>
      </w:r>
    </w:p>
    <w:p>
      <w:pPr>
        <w:numPr>
          <w:ilvl w:val="0"/>
          <w:numId w:val="1"/>
        </w:numPr>
        <w:spacing w:line="360" w:lineRule="auto"/>
        <w:jc w:val="left"/>
        <w:rPr>
          <w:rFonts w:hint="eastAsia" w:ascii="Calibri" w:hAnsi="Calibri" w:eastAsia="宋体" w:cs="Times New Roman"/>
          <w:b/>
          <w:bCs/>
          <w:sz w:val="28"/>
          <w:szCs w:val="28"/>
          <w:lang w:val="en-US" w:eastAsia="zh-CN"/>
        </w:rPr>
      </w:pPr>
      <w:r>
        <w:rPr>
          <w:rFonts w:hint="eastAsia" w:ascii="Calibri" w:hAnsi="Calibri" w:eastAsia="宋体" w:cs="Times New Roman"/>
          <w:b/>
          <w:bCs/>
          <w:sz w:val="28"/>
          <w:szCs w:val="28"/>
          <w:lang w:val="en-US" w:eastAsia="zh-CN"/>
        </w:rPr>
        <w:t>主要基础需求</w:t>
      </w:r>
      <w:bookmarkStart w:id="0" w:name="_GoBack"/>
      <w:bookmarkEnd w:id="0"/>
      <w:r>
        <w:rPr>
          <w:rFonts w:hint="eastAsia" w:ascii="Calibri" w:hAnsi="Calibri" w:eastAsia="宋体" w:cs="Times New Roman"/>
          <w:b/>
          <w:bCs/>
          <w:sz w:val="28"/>
          <w:szCs w:val="28"/>
          <w:lang w:val="en-US" w:eastAsia="zh-CN"/>
        </w:rPr>
        <w:t>：</w:t>
      </w:r>
    </w:p>
    <w:p>
      <w:pPr>
        <w:pStyle w:val="3"/>
        <w:spacing w:before="0" w:line="360" w:lineRule="auto"/>
        <w:ind w:left="0" w:firstLine="0"/>
        <w:jc w:val="both"/>
        <w:rPr>
          <w:rFonts w:hint="eastAsia" w:ascii="宋体" w:hAnsi="宋体" w:eastAsia="宋体" w:cs="宋体"/>
          <w:spacing w:val="-3"/>
          <w:sz w:val="21"/>
          <w:szCs w:val="21"/>
        </w:rPr>
      </w:pPr>
      <w:r>
        <w:rPr>
          <w:rFonts w:hint="eastAsia"/>
          <w:sz w:val="21"/>
          <w:szCs w:val="21"/>
          <w:lang w:val="en-US" w:eastAsia="zh-CN"/>
        </w:rPr>
        <w:t>1、</w:t>
      </w:r>
      <w:r>
        <w:rPr>
          <w:rFonts w:hint="eastAsia" w:ascii="宋体" w:hAnsi="宋体" w:eastAsia="宋体" w:cs="宋体"/>
          <w:spacing w:val="-3"/>
          <w:sz w:val="21"/>
          <w:szCs w:val="21"/>
        </w:rPr>
        <w:t>进样方法：满环进样、部分环进样、微升进样</w:t>
      </w:r>
    </w:p>
    <w:p>
      <w:pPr>
        <w:pStyle w:val="3"/>
        <w:spacing w:before="0" w:line="360" w:lineRule="auto"/>
        <w:ind w:left="0" w:firstLine="0"/>
        <w:jc w:val="both"/>
        <w:rPr>
          <w:rFonts w:hint="eastAsia" w:ascii="宋体" w:hAnsi="宋体" w:eastAsia="宋体" w:cs="宋体"/>
          <w:spacing w:val="-3"/>
          <w:sz w:val="21"/>
          <w:szCs w:val="21"/>
        </w:rPr>
      </w:pPr>
      <w:r>
        <w:rPr>
          <w:rFonts w:hint="eastAsia" w:ascii="宋体" w:hAnsi="宋体" w:eastAsia="宋体" w:cs="宋体"/>
          <w:sz w:val="21"/>
          <w:szCs w:val="21"/>
          <w:lang w:val="en-US" w:eastAsia="zh-CN"/>
        </w:rPr>
        <w:t>2、</w:t>
      </w:r>
      <w:r>
        <w:rPr>
          <w:rFonts w:hint="eastAsia" w:ascii="宋体" w:hAnsi="宋体" w:eastAsia="宋体" w:cs="宋体"/>
          <w:spacing w:val="-3"/>
          <w:sz w:val="21"/>
          <w:szCs w:val="21"/>
        </w:rPr>
        <w:t>离子源探针采用最优喷雾设计，减少溶剂污染；可在任意位置固定并实现上下、前后、 左右三维连续调节</w:t>
      </w:r>
    </w:p>
    <w:p>
      <w:pPr>
        <w:pStyle w:val="3"/>
        <w:spacing w:before="0" w:line="360" w:lineRule="auto"/>
        <w:ind w:left="0" w:firstLine="0"/>
        <w:jc w:val="both"/>
        <w:rPr>
          <w:rFonts w:hint="eastAsia" w:ascii="宋体" w:hAnsi="宋体" w:eastAsia="宋体" w:cs="宋体"/>
          <w:spacing w:val="-3"/>
          <w:sz w:val="21"/>
          <w:szCs w:val="21"/>
          <w:lang w:val="en-US"/>
        </w:rPr>
      </w:pPr>
      <w:r>
        <w:rPr>
          <w:rFonts w:hint="eastAsia" w:ascii="宋体" w:hAnsi="宋体" w:eastAsia="宋体" w:cs="宋体"/>
          <w:spacing w:val="-3"/>
          <w:sz w:val="21"/>
          <w:szCs w:val="21"/>
          <w:lang w:val="en-US" w:eastAsia="zh-CN"/>
        </w:rPr>
        <w:t>3、</w:t>
      </w:r>
      <w:r>
        <w:rPr>
          <w:rFonts w:hint="eastAsia" w:ascii="宋体" w:hAnsi="宋体" w:eastAsia="宋体" w:cs="宋体"/>
          <w:spacing w:val="-3"/>
          <w:sz w:val="21"/>
          <w:szCs w:val="21"/>
        </w:rPr>
        <w:t>离子引导采用三重四级杆传输系统及轴向加速系统，离子传输速率及效率大大提高</w:t>
      </w:r>
    </w:p>
    <w:p>
      <w:pPr>
        <w:pStyle w:val="5"/>
        <w:ind w:left="0" w:leftChars="0" w:firstLine="0" w:firstLineChars="0"/>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4、</w:t>
      </w:r>
      <w:r>
        <w:rPr>
          <w:rFonts w:hint="eastAsia" w:ascii="宋体" w:hAnsi="宋体" w:eastAsia="宋体" w:cs="宋体"/>
          <w:spacing w:val="-3"/>
          <w:sz w:val="21"/>
          <w:szCs w:val="21"/>
        </w:rPr>
        <w:t>高通量，兼容性强的桌面型全自动样本前处理开放平台，系统内置浓度标准曲线和标准化操作流程，有效避免手工操作的人为误差。</w:t>
      </w:r>
    </w:p>
    <w:p>
      <w:pPr>
        <w:pStyle w:val="3"/>
        <w:spacing w:before="0" w:line="360" w:lineRule="auto"/>
        <w:ind w:left="0" w:firstLine="0"/>
        <w:jc w:val="both"/>
        <w:rPr>
          <w:rFonts w:ascii="Times New Roman" w:hAnsi="Times New Roman" w:cs="Times New Roman" w:eastAsiaTheme="majorEastAsia"/>
          <w:spacing w:val="-3"/>
          <w:sz w:val="24"/>
          <w:szCs w:val="24"/>
        </w:rPr>
      </w:pPr>
      <w:r>
        <w:rPr>
          <w:rFonts w:hint="eastAsia" w:ascii="宋体" w:hAnsi="宋体" w:eastAsia="宋体" w:cs="宋体"/>
          <w:spacing w:val="-3"/>
          <w:sz w:val="21"/>
          <w:szCs w:val="21"/>
          <w:lang w:val="en-US" w:eastAsia="zh-CN"/>
        </w:rPr>
        <w:t>5、</w:t>
      </w:r>
      <w:r>
        <w:rPr>
          <w:rFonts w:hint="eastAsia" w:ascii="宋体" w:hAnsi="宋体" w:eastAsia="宋体" w:cs="宋体"/>
          <w:spacing w:val="-3"/>
          <w:sz w:val="21"/>
          <w:szCs w:val="21"/>
        </w:rPr>
        <w:t>前处理方法：支持固相支持液液萃取（SLE）、蛋白沉淀过滤（PPT）、固相萃取法（SPE）等多种样本前处理方法</w:t>
      </w:r>
      <w:r>
        <w:rPr>
          <w:rFonts w:ascii="Times New Roman" w:hAnsi="Times New Roman" w:cs="Times New Roman" w:eastAsiaTheme="majorEastAsia"/>
          <w:spacing w:val="-3"/>
          <w:sz w:val="24"/>
          <w:szCs w:val="24"/>
        </w:rPr>
        <w:t>。</w:t>
      </w:r>
    </w:p>
    <w:p>
      <w:pPr>
        <w:pStyle w:val="3"/>
        <w:spacing w:before="0" w:line="360" w:lineRule="auto"/>
        <w:ind w:left="0" w:firstLine="0"/>
        <w:jc w:val="both"/>
        <w:rPr>
          <w:rFonts w:hint="eastAsia" w:ascii="宋体" w:hAnsi="宋体" w:eastAsia="宋体" w:cs="宋体"/>
          <w:spacing w:val="-3"/>
          <w:sz w:val="21"/>
          <w:szCs w:val="21"/>
        </w:rPr>
      </w:pPr>
      <w:r>
        <w:rPr>
          <w:rFonts w:hint="eastAsia" w:ascii="宋体" w:hAnsi="宋体" w:eastAsia="宋体" w:cs="宋体"/>
          <w:spacing w:val="-3"/>
          <w:sz w:val="21"/>
          <w:szCs w:val="21"/>
          <w:lang w:val="en-US" w:eastAsia="zh-CN"/>
        </w:rPr>
        <w:t>6、</w:t>
      </w:r>
      <w:r>
        <w:rPr>
          <w:rFonts w:hint="eastAsia" w:ascii="宋体" w:hAnsi="宋体" w:eastAsia="宋体" w:cs="宋体"/>
          <w:spacing w:val="-3"/>
          <w:sz w:val="21"/>
          <w:szCs w:val="21"/>
        </w:rPr>
        <w:t>碰撞气：氮气发生器/高纯氮气，气源成本低。</w:t>
      </w:r>
    </w:p>
    <w:p>
      <w:pPr>
        <w:jc w:val="left"/>
        <w:rPr>
          <w:rFonts w:hint="eastAsia" w:ascii="宋体" w:hAnsi="宋体" w:eastAsia="宋体" w:cs="宋体"/>
          <w:color w:val="auto"/>
          <w:sz w:val="21"/>
          <w:szCs w:val="21"/>
          <w:lang w:val="en-US" w:eastAsia="zh-CN"/>
        </w:rPr>
      </w:pPr>
      <w:r>
        <w:rPr>
          <w:rFonts w:hint="eastAsia" w:ascii="宋体" w:hAnsi="宋体" w:eastAsia="宋体" w:cs="宋体"/>
          <w:spacing w:val="-3"/>
          <w:sz w:val="21"/>
          <w:szCs w:val="21"/>
          <w:lang w:val="en-US" w:eastAsia="zh-CN"/>
        </w:rPr>
        <w:t>7、</w:t>
      </w:r>
      <w:r>
        <w:rPr>
          <w:rFonts w:hint="eastAsia" w:ascii="宋体" w:hAnsi="宋体" w:eastAsia="宋体" w:cs="宋体"/>
          <w:color w:val="auto"/>
          <w:sz w:val="21"/>
          <w:szCs w:val="21"/>
          <w:lang w:val="en-US" w:eastAsia="zh-CN"/>
        </w:rPr>
        <w:t>具备其他基础使用功能等</w:t>
      </w:r>
    </w:p>
    <w:p>
      <w:pPr>
        <w:pStyle w:val="8"/>
        <w:numPr>
          <w:ilvl w:val="0"/>
          <w:numId w:val="0"/>
        </w:numPr>
        <w:tabs>
          <w:tab w:val="left" w:pos="312"/>
        </w:tabs>
        <w:spacing w:line="360" w:lineRule="auto"/>
        <w:ind w:left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三．配置清单:</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1、超高效液相色谱主机1套</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2、柱温箱1套</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3、三重四极杆质谱检测系统1套，包含离子源</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4、质谱工作站1套</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5、氮气发生器一台</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6、高配置品牌电脑1套</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lang w:eastAsia="zh-CN"/>
          <w14:textFill>
            <w14:solidFill>
              <w14:schemeClr w14:val="tx1"/>
            </w14:solidFill>
          </w14:textFill>
        </w:rPr>
        <w:t>自动进样样品瓶200个</w:t>
      </w:r>
    </w:p>
    <w:p>
      <w:pPr>
        <w:tabs>
          <w:tab w:val="left" w:pos="2483"/>
        </w:tabs>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8、真空泵油2瓶</w:t>
      </w:r>
    </w:p>
    <w:p>
      <w:pPr>
        <w:tabs>
          <w:tab w:val="left" w:pos="2483"/>
        </w:tabs>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9、电脑工作站、冷冻离心机、恒温箱、96孔版涡旋震荡器、超声波清洗机、单管涡旋混合仪、多管涡旋混合仪、分析天平、微量加样枪</w:t>
      </w:r>
    </w:p>
    <w:p>
      <w:pPr>
        <w:tabs>
          <w:tab w:val="left" w:pos="2483"/>
        </w:tabs>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10、质谱校准液套装</w:t>
      </w:r>
    </w:p>
    <w:p>
      <w:pPr>
        <w:pStyle w:val="8"/>
        <w:numPr>
          <w:ilvl w:val="0"/>
          <w:numId w:val="0"/>
        </w:numPr>
        <w:tabs>
          <w:tab w:val="left" w:pos="312"/>
        </w:tabs>
        <w:spacing w:line="360" w:lineRule="auto"/>
        <w:ind w:leftChars="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11、前处理系统</w:t>
      </w:r>
    </w:p>
    <w:p>
      <w:pPr>
        <w:numPr>
          <w:ilvl w:val="0"/>
          <w:numId w:val="0"/>
        </w:numPr>
        <w:jc w:val="left"/>
        <w:rPr>
          <w:rFonts w:hint="default" w:ascii="宋体" w:hAnsi="宋体" w:eastAsia="宋体" w:cs="宋体"/>
          <w:b w:val="0"/>
          <w:bCs w:val="0"/>
          <w:szCs w:val="21"/>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12、</w:t>
      </w:r>
      <w:r>
        <w:rPr>
          <w:rFonts w:hint="eastAsia" w:ascii="宋体" w:hAnsi="宋体" w:eastAsia="宋体" w:cs="宋体"/>
          <w:b w:val="0"/>
          <w:bCs w:val="0"/>
          <w:szCs w:val="21"/>
          <w:lang w:val="en-US" w:eastAsia="zh-CN"/>
        </w:rPr>
        <w:t>其他须配套的设备及附件、耗材。</w:t>
      </w:r>
    </w:p>
    <w:p>
      <w:pP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Theme="minorEastAsia" w:hAnsiTheme="minorEastAsia" w:cstheme="minorEastAsia"/>
          <w:b/>
          <w:bCs/>
          <w:sz w:val="28"/>
          <w:szCs w:val="28"/>
          <w:lang w:val="en-US" w:eastAsia="zh-CN"/>
        </w:rPr>
        <w:t>备注：院内调研基本需求仅做市场调研论证用，允许负偏离，需提供正负偏离表，最终参数以公开招标为准。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B9390"/>
    <w:multiLevelType w:val="singleLevel"/>
    <w:tmpl w:val="C62B939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2MTlkMDJkNzRlNmUyNjMyMzg0ZDExMWQzMDBiNjQifQ=="/>
    <w:docVar w:name="KSO_WPS_MARK_KEY" w:val="2a7a9a88-f239-44a3-a4b0-4cb5a633072f"/>
  </w:docVars>
  <w:rsids>
    <w:rsidRoot w:val="04E72B45"/>
    <w:rsid w:val="00356A36"/>
    <w:rsid w:val="005F5395"/>
    <w:rsid w:val="007D18E7"/>
    <w:rsid w:val="00872088"/>
    <w:rsid w:val="009509F1"/>
    <w:rsid w:val="00E21F8C"/>
    <w:rsid w:val="00EC6769"/>
    <w:rsid w:val="04E72B45"/>
    <w:rsid w:val="05FA6A71"/>
    <w:rsid w:val="0C166FB5"/>
    <w:rsid w:val="0FF05345"/>
    <w:rsid w:val="1B397CEE"/>
    <w:rsid w:val="201F345A"/>
    <w:rsid w:val="22AB5DF5"/>
    <w:rsid w:val="230C55E7"/>
    <w:rsid w:val="23E678BC"/>
    <w:rsid w:val="2B320F6B"/>
    <w:rsid w:val="2BBD3922"/>
    <w:rsid w:val="2C77629C"/>
    <w:rsid w:val="3AEC0481"/>
    <w:rsid w:val="587D6765"/>
    <w:rsid w:val="6609788A"/>
    <w:rsid w:val="7A7D1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pPr>
    <w:rPr>
      <w:rFonts w:ascii="Cambria" w:hAnsi="Cambria" w:cs="宋体"/>
      <w:sz w:val="24"/>
    </w:rPr>
  </w:style>
  <w:style w:type="paragraph" w:styleId="3">
    <w:name w:val="Body Text"/>
    <w:basedOn w:val="1"/>
    <w:qFormat/>
    <w:uiPriority w:val="1"/>
    <w:pPr>
      <w:spacing w:before="237"/>
      <w:ind w:left="120" w:hanging="524"/>
    </w:pPr>
    <w:rPr>
      <w:sz w:val="21"/>
      <w:szCs w:val="21"/>
    </w:rPr>
  </w:style>
  <w:style w:type="paragraph" w:styleId="4">
    <w:name w:val="Body Text Indent"/>
    <w:basedOn w:val="1"/>
    <w:qFormat/>
    <w:uiPriority w:val="0"/>
    <w:pPr>
      <w:adjustRightInd w:val="0"/>
      <w:spacing w:after="120" w:line="360" w:lineRule="atLeast"/>
      <w:ind w:left="420" w:leftChars="200"/>
      <w:jc w:val="left"/>
      <w:textAlignment w:val="baseline"/>
    </w:pPr>
    <w:rPr>
      <w:kern w:val="0"/>
      <w:sz w:val="24"/>
      <w:szCs w:val="20"/>
    </w:rPr>
  </w:style>
  <w:style w:type="paragraph" w:styleId="5">
    <w:name w:val="Body Text First Indent 2"/>
    <w:basedOn w:val="4"/>
    <w:unhideWhenUsed/>
    <w:qFormat/>
    <w:uiPriority w:val="99"/>
    <w:pPr>
      <w:ind w:firstLine="420" w:firstLineChars="200"/>
    </w:pPr>
  </w:style>
  <w:style w:type="paragraph" w:styleId="8">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647</Words>
  <Characters>659</Characters>
  <Lines>3</Lines>
  <Paragraphs>1</Paragraphs>
  <TotalTime>0</TotalTime>
  <ScaleCrop>false</ScaleCrop>
  <LinksUpToDate>false</LinksUpToDate>
  <CharactersWithSpaces>660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2024-11-19T03:20:00Z</dcterms:created>
  <dc:creator>迪尔生物</dc:creator>
  <cp:lastModifiedBy>：</cp:lastModifiedBy>
  <dcterms:modified xsi:type="dcterms:W3CDTF">2025-04-27T03:26:32Z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DDCB041B84A04EF091A349D34F07E12D_11</vt:lpwstr>
  </property>
  <property fmtid="{D5CDD505-2E9C-101B-9397-08002B2CF9AE}" pid="4" name="KSOTemplateDocerSaveRecord">
    <vt:lpwstr>eyJoZGlkIjoiZTI2MTFkNzBjYTQyYzM5N2RhY2RiM2RiZGI0NTc5MTYiLCJ1c2VySWQiOiIzODE1Nzk0MzcifQ==</vt:lpwstr>
  </property>
</Properties>
</file>