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9DFB96">
      <w:pPr>
        <w:kinsoku/>
        <w:topLinePunct/>
        <w:autoSpaceDE/>
        <w:autoSpaceDN/>
        <w:spacing w:line="480" w:lineRule="auto"/>
        <w:jc w:val="center"/>
        <w:rPr>
          <w:rFonts w:hint="eastAsia"/>
          <w:b w:val="0"/>
          <w:bCs w:val="0"/>
          <w:color w:val="auto"/>
          <w:sz w:val="21"/>
          <w:szCs w:val="21"/>
        </w:rPr>
      </w:pPr>
      <w:bookmarkStart w:id="0" w:name="bookmark81"/>
      <w:bookmarkEnd w:id="0"/>
      <w:bookmarkStart w:id="1" w:name="_Toc5326"/>
      <w:r>
        <w:rPr>
          <w:rFonts w:hint="eastAsia" w:ascii="宋体" w:hAnsi="宋体" w:eastAsia="宋体" w:cs="宋体"/>
          <w:b w:val="0"/>
          <w:bCs w:val="0"/>
          <w:color w:val="auto"/>
          <w:sz w:val="21"/>
          <w:szCs w:val="21"/>
          <w:lang w:eastAsia="zh-CN"/>
        </w:rPr>
        <w:t>一、</w:t>
      </w:r>
      <w:r>
        <w:rPr>
          <w:rFonts w:hint="eastAsia" w:ascii="宋体" w:hAnsi="宋体" w:eastAsia="宋体" w:cs="宋体"/>
          <w:b w:val="0"/>
          <w:bCs w:val="0"/>
          <w:color w:val="auto"/>
          <w:sz w:val="21"/>
          <w:szCs w:val="21"/>
        </w:rPr>
        <w:t>采购需求表</w:t>
      </w:r>
    </w:p>
    <w:tbl>
      <w:tblPr>
        <w:tblStyle w:val="39"/>
        <w:tblW w:w="8741"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984"/>
        <w:gridCol w:w="6757"/>
      </w:tblGrid>
      <w:tr w14:paraId="490F879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182" w:hRule="atLeast"/>
          <w:jc w:val="center"/>
        </w:trPr>
        <w:tc>
          <w:tcPr>
            <w:tcW w:w="1984" w:type="dxa"/>
            <w:tcBorders>
              <w:top w:val="single" w:color="000000" w:sz="8" w:space="0"/>
              <w:left w:val="single" w:color="000000" w:sz="8" w:space="0"/>
              <w:bottom w:val="single" w:color="000000" w:sz="8" w:space="0"/>
              <w:right w:val="single" w:color="000000" w:sz="8" w:space="0"/>
              <w:tl2br w:val="single" w:color="000000" w:sz="8" w:space="0"/>
              <w:tr2bl w:val="nil"/>
            </w:tcBorders>
          </w:tcPr>
          <w:p w14:paraId="54C9AA4B">
            <w:pPr>
              <w:widowControl w:val="0"/>
              <w:kinsoku/>
              <w:topLinePunct/>
              <w:autoSpaceDE/>
              <w:autoSpaceDN/>
              <w:spacing w:before="78" w:line="221" w:lineRule="auto"/>
              <w:ind w:firstLine="210" w:firstLineChars="100"/>
              <w:rPr>
                <w:rFonts w:ascii="宋体" w:hAnsi="宋体" w:eastAsia="宋体" w:cs="宋体"/>
                <w:b w:val="0"/>
                <w:bCs w:val="0"/>
                <w:color w:val="auto"/>
                <w:sz w:val="21"/>
                <w:szCs w:val="21"/>
                <w:lang w:eastAsia="zh-CN"/>
              </w:rPr>
            </w:pPr>
          </w:p>
          <w:p w14:paraId="5796E260">
            <w:pPr>
              <w:widowControl w:val="0"/>
              <w:kinsoku/>
              <w:topLinePunct/>
              <w:autoSpaceDE/>
              <w:autoSpaceDN/>
              <w:spacing w:before="78" w:line="221" w:lineRule="auto"/>
              <w:ind w:firstLine="210" w:firstLineChars="10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 xml:space="preserve">内容    </w:t>
            </w:r>
            <w:r>
              <w:rPr>
                <w:rFonts w:ascii="宋体" w:hAnsi="宋体" w:eastAsia="宋体" w:cs="宋体"/>
                <w:b w:val="0"/>
                <w:bCs w:val="0"/>
                <w:color w:val="auto"/>
                <w:sz w:val="21"/>
                <w:szCs w:val="21"/>
              </w:rPr>
              <w:t>名</w:t>
            </w:r>
            <w:r>
              <w:rPr>
                <w:rFonts w:hint="eastAsia" w:ascii="宋体" w:hAnsi="宋体" w:eastAsia="宋体" w:cs="宋体"/>
                <w:b w:val="0"/>
                <w:bCs w:val="0"/>
                <w:color w:val="auto"/>
                <w:sz w:val="21"/>
                <w:szCs w:val="21"/>
                <w:lang w:eastAsia="zh-CN"/>
              </w:rPr>
              <w:t>称</w:t>
            </w:r>
          </w:p>
        </w:tc>
        <w:tc>
          <w:tcPr>
            <w:tcW w:w="6757" w:type="dxa"/>
            <w:tcBorders>
              <w:top w:val="single" w:color="000000" w:sz="8" w:space="0"/>
              <w:left w:val="single" w:color="000000" w:sz="8" w:space="0"/>
              <w:bottom w:val="single" w:color="000000" w:sz="8" w:space="0"/>
              <w:right w:val="single" w:color="000000" w:sz="8" w:space="0"/>
              <w:tl2br w:val="nil"/>
              <w:tr2bl w:val="nil"/>
            </w:tcBorders>
            <w:vAlign w:val="center"/>
          </w:tcPr>
          <w:p w14:paraId="527762A0">
            <w:pPr>
              <w:pStyle w:val="40"/>
              <w:widowControl w:val="0"/>
              <w:kinsoku/>
              <w:topLinePunct/>
              <w:autoSpaceDE/>
              <w:autoSpaceDN/>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上饶市人民医院城北院区信息系统采购项目</w:t>
            </w:r>
            <w:r>
              <w:rPr>
                <w:rFonts w:hint="eastAsia" w:ascii="宋体" w:hAnsi="宋体" w:eastAsia="宋体" w:cs="宋体"/>
                <w:b w:val="0"/>
                <w:bCs w:val="0"/>
                <w:color w:val="auto"/>
                <w:sz w:val="21"/>
                <w:szCs w:val="21"/>
                <w:lang w:eastAsia="zh-CN"/>
              </w:rPr>
              <w:t>第三方检测服务</w:t>
            </w:r>
          </w:p>
        </w:tc>
      </w:tr>
      <w:tr w14:paraId="6FEB7ED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64" w:hRule="atLeast"/>
          <w:jc w:val="center"/>
        </w:trPr>
        <w:tc>
          <w:tcPr>
            <w:tcW w:w="1984" w:type="dxa"/>
            <w:tcBorders>
              <w:top w:val="single" w:color="000000" w:sz="8" w:space="0"/>
              <w:left w:val="single" w:color="000000" w:sz="8" w:space="0"/>
              <w:bottom w:val="single" w:color="000000" w:sz="8" w:space="0"/>
              <w:right w:val="single" w:color="000000" w:sz="8" w:space="0"/>
              <w:tl2br w:val="nil"/>
              <w:tr2bl w:val="nil"/>
            </w:tcBorders>
            <w:vAlign w:val="center"/>
          </w:tcPr>
          <w:p w14:paraId="73D1822C">
            <w:pPr>
              <w:widowControl w:val="0"/>
              <w:kinsoku/>
              <w:topLinePunct/>
              <w:autoSpaceDE/>
              <w:autoSpaceDN/>
              <w:jc w:val="center"/>
              <w:rPr>
                <w:rFonts w:hint="eastAsia" w:ascii="宋体" w:hAnsi="宋体" w:eastAsia="宋体" w:cs="宋体"/>
                <w:b w:val="0"/>
                <w:bCs w:val="0"/>
                <w:color w:val="auto"/>
                <w:sz w:val="21"/>
                <w:szCs w:val="21"/>
              </w:rPr>
            </w:pPr>
            <w:r>
              <w:rPr>
                <w:rFonts w:ascii="宋体" w:hAnsi="宋体" w:eastAsia="宋体" w:cs="宋体"/>
                <w:b w:val="0"/>
                <w:bCs w:val="0"/>
                <w:color w:val="auto"/>
                <w:sz w:val="21"/>
                <w:szCs w:val="21"/>
              </w:rPr>
              <w:t>数量</w:t>
            </w:r>
          </w:p>
        </w:tc>
        <w:tc>
          <w:tcPr>
            <w:tcW w:w="6757" w:type="dxa"/>
            <w:tcBorders>
              <w:top w:val="single" w:color="000000" w:sz="8" w:space="0"/>
              <w:left w:val="single" w:color="000000" w:sz="8" w:space="0"/>
              <w:bottom w:val="single" w:color="000000" w:sz="8" w:space="0"/>
              <w:right w:val="single" w:color="000000" w:sz="8" w:space="0"/>
              <w:tl2br w:val="nil"/>
              <w:tr2bl w:val="nil"/>
            </w:tcBorders>
            <w:vAlign w:val="center"/>
          </w:tcPr>
          <w:p w14:paraId="477BB56A">
            <w:pPr>
              <w:pStyle w:val="40"/>
              <w:widowControl w:val="0"/>
              <w:kinsoku/>
              <w:topLinePunct/>
              <w:autoSpaceDE/>
              <w:autoSpaceDN/>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1项</w:t>
            </w:r>
          </w:p>
        </w:tc>
      </w:tr>
      <w:tr w14:paraId="3E0B3A2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64" w:hRule="atLeast"/>
          <w:jc w:val="center"/>
        </w:trPr>
        <w:tc>
          <w:tcPr>
            <w:tcW w:w="1984" w:type="dxa"/>
            <w:tcBorders>
              <w:top w:val="single" w:color="000000" w:sz="8" w:space="0"/>
              <w:left w:val="single" w:color="000000" w:sz="8" w:space="0"/>
              <w:bottom w:val="single" w:color="000000" w:sz="8" w:space="0"/>
              <w:right w:val="single" w:color="000000" w:sz="8" w:space="0"/>
              <w:tl2br w:val="nil"/>
              <w:tr2bl w:val="nil"/>
            </w:tcBorders>
            <w:vAlign w:val="center"/>
          </w:tcPr>
          <w:p w14:paraId="386E0E6B">
            <w:pPr>
              <w:widowControl w:val="0"/>
              <w:kinsoku/>
              <w:topLinePunct/>
              <w:autoSpaceDE/>
              <w:autoSpaceDN/>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服务</w:t>
            </w:r>
            <w:r>
              <w:rPr>
                <w:rFonts w:ascii="宋体" w:hAnsi="宋体" w:eastAsia="宋体" w:cs="宋体"/>
                <w:b w:val="0"/>
                <w:bCs w:val="0"/>
                <w:color w:val="auto"/>
                <w:sz w:val="21"/>
                <w:szCs w:val="21"/>
              </w:rPr>
              <w:t>期</w:t>
            </w:r>
          </w:p>
        </w:tc>
        <w:tc>
          <w:tcPr>
            <w:tcW w:w="6757" w:type="dxa"/>
            <w:tcBorders>
              <w:top w:val="single" w:color="000000" w:sz="8" w:space="0"/>
              <w:left w:val="single" w:color="000000" w:sz="8" w:space="0"/>
              <w:bottom w:val="single" w:color="000000" w:sz="8" w:space="0"/>
              <w:right w:val="single" w:color="000000" w:sz="8" w:space="0"/>
              <w:tl2br w:val="nil"/>
              <w:tr2bl w:val="nil"/>
            </w:tcBorders>
            <w:vAlign w:val="center"/>
          </w:tcPr>
          <w:p w14:paraId="712BF2B7">
            <w:pPr>
              <w:pStyle w:val="40"/>
              <w:widowControl w:val="0"/>
              <w:kinsoku/>
              <w:topLinePunct/>
              <w:autoSpaceDE/>
              <w:autoSpaceDN/>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90天。</w:t>
            </w:r>
          </w:p>
        </w:tc>
      </w:tr>
      <w:tr w14:paraId="02551B8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64" w:hRule="atLeast"/>
          <w:jc w:val="center"/>
        </w:trPr>
        <w:tc>
          <w:tcPr>
            <w:tcW w:w="1984" w:type="dxa"/>
            <w:tcBorders>
              <w:top w:val="single" w:color="000000" w:sz="8" w:space="0"/>
              <w:left w:val="single" w:color="000000" w:sz="8" w:space="0"/>
              <w:bottom w:val="single" w:color="000000" w:sz="8" w:space="0"/>
              <w:right w:val="single" w:color="000000" w:sz="8" w:space="0"/>
              <w:tl2br w:val="nil"/>
              <w:tr2bl w:val="nil"/>
            </w:tcBorders>
            <w:vAlign w:val="center"/>
          </w:tcPr>
          <w:p w14:paraId="4FC21AAB">
            <w:pPr>
              <w:widowControl w:val="0"/>
              <w:kinsoku/>
              <w:topLinePunct/>
              <w:autoSpaceDE/>
              <w:autoSpaceDN/>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服务</w:t>
            </w:r>
            <w:r>
              <w:rPr>
                <w:rFonts w:ascii="宋体" w:hAnsi="宋体" w:eastAsia="宋体" w:cs="宋体"/>
                <w:b w:val="0"/>
                <w:bCs w:val="0"/>
                <w:color w:val="auto"/>
                <w:sz w:val="21"/>
                <w:szCs w:val="21"/>
              </w:rPr>
              <w:t>地点</w:t>
            </w:r>
          </w:p>
        </w:tc>
        <w:tc>
          <w:tcPr>
            <w:tcW w:w="6757" w:type="dxa"/>
            <w:tcBorders>
              <w:top w:val="single" w:color="000000" w:sz="8" w:space="0"/>
              <w:left w:val="single" w:color="000000" w:sz="8" w:space="0"/>
              <w:bottom w:val="single" w:color="000000" w:sz="8" w:space="0"/>
              <w:right w:val="single" w:color="000000" w:sz="8" w:space="0"/>
              <w:tl2br w:val="nil"/>
              <w:tr2bl w:val="nil"/>
            </w:tcBorders>
            <w:vAlign w:val="center"/>
          </w:tcPr>
          <w:p w14:paraId="6485F6AC">
            <w:pPr>
              <w:pStyle w:val="40"/>
              <w:widowControl w:val="0"/>
              <w:kinsoku/>
              <w:topLinePunct/>
              <w:autoSpaceDE/>
              <w:autoSpaceDN/>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上饶市人民医院</w:t>
            </w:r>
          </w:p>
        </w:tc>
      </w:tr>
    </w:tbl>
    <w:p w14:paraId="1265E7AB">
      <w:pPr>
        <w:kinsoku/>
        <w:topLinePunct/>
        <w:autoSpaceDE/>
        <w:autoSpaceDN/>
        <w:rPr>
          <w:b w:val="0"/>
          <w:bCs w:val="0"/>
          <w:color w:val="auto"/>
          <w:sz w:val="21"/>
          <w:szCs w:val="21"/>
          <w:highlight w:val="lightGray"/>
          <w:lang w:eastAsia="zh-CN"/>
        </w:rPr>
      </w:pPr>
    </w:p>
    <w:p w14:paraId="253FFBAD">
      <w:pPr>
        <w:kinsoku/>
        <w:autoSpaceDE/>
        <w:autoSpaceDN/>
        <w:adjustRightInd/>
        <w:snapToGrid/>
        <w:spacing w:after="160" w:line="278" w:lineRule="auto"/>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br w:type="page"/>
      </w:r>
    </w:p>
    <w:p w14:paraId="65A776F7">
      <w:pPr>
        <w:kinsoku/>
        <w:topLinePunct/>
        <w:autoSpaceDE/>
        <w:autoSpaceDN/>
        <w:spacing w:line="360" w:lineRule="auto"/>
        <w:jc w:val="center"/>
        <w:rPr>
          <w:rFonts w:hint="eastAsia" w:ascii="宋体" w:hAnsi="宋体" w:eastAsia="宋体"/>
          <w:b w:val="0"/>
          <w:bCs w:val="0"/>
          <w:color w:val="auto"/>
          <w:sz w:val="21"/>
          <w:szCs w:val="21"/>
        </w:rPr>
      </w:pPr>
      <w:r>
        <w:rPr>
          <w:rFonts w:hint="eastAsia" w:ascii="宋体" w:hAnsi="宋体" w:eastAsia="宋体" w:cs="宋体"/>
          <w:b w:val="0"/>
          <w:bCs w:val="0"/>
          <w:color w:val="auto"/>
          <w:sz w:val="21"/>
          <w:szCs w:val="21"/>
          <w:lang w:eastAsia="zh-CN"/>
        </w:rPr>
        <w:t>二、</w:t>
      </w:r>
      <w:r>
        <w:rPr>
          <w:rFonts w:hint="eastAsia" w:ascii="宋体" w:hAnsi="宋体" w:eastAsia="宋体" w:cs="宋体"/>
          <w:b w:val="0"/>
          <w:bCs w:val="0"/>
          <w:color w:val="auto"/>
          <w:sz w:val="21"/>
          <w:szCs w:val="21"/>
        </w:rPr>
        <w:t>采购要求</w:t>
      </w:r>
      <w:bookmarkEnd w:id="1"/>
    </w:p>
    <w:p w14:paraId="1A2FFDB6">
      <w:pPr>
        <w:pStyle w:val="32"/>
        <w:numPr>
          <w:ilvl w:val="0"/>
          <w:numId w:val="1"/>
        </w:numPr>
        <w:kinsoku/>
        <w:topLinePunct/>
        <w:autoSpaceDE/>
        <w:autoSpaceDN/>
        <w:spacing w:line="360" w:lineRule="auto"/>
        <w:jc w:val="center"/>
        <w:rPr>
          <w:rFonts w:hint="eastAsia" w:ascii="宋体" w:hAnsi="宋体" w:eastAsia="宋体"/>
          <w:b w:val="0"/>
          <w:bCs w:val="0"/>
          <w:color w:val="auto"/>
          <w:sz w:val="21"/>
          <w:szCs w:val="21"/>
        </w:rPr>
      </w:pPr>
      <w:bookmarkStart w:id="2" w:name="_Toc25526"/>
      <w:r>
        <w:rPr>
          <w:rFonts w:hint="eastAsia" w:ascii="宋体" w:hAnsi="宋体" w:eastAsia="宋体" w:cs="宋体"/>
          <w:b w:val="0"/>
          <w:bCs w:val="0"/>
          <w:color w:val="auto"/>
          <w:sz w:val="21"/>
          <w:szCs w:val="21"/>
        </w:rPr>
        <w:t>技术要求</w:t>
      </w:r>
    </w:p>
    <w:bookmarkEnd w:id="2"/>
    <w:p w14:paraId="3E24F673">
      <w:pPr>
        <w:kinsoku/>
        <w:topLinePunct/>
        <w:autoSpaceDE/>
        <w:autoSpaceDN/>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1、项目概况</w:t>
      </w:r>
    </w:p>
    <w:p w14:paraId="2B0F709F">
      <w:pPr>
        <w:kinsoku/>
        <w:topLinePunct/>
        <w:autoSpaceDE/>
        <w:autoSpaceDN/>
        <w:spacing w:line="500" w:lineRule="exact"/>
        <w:ind w:firstLine="420" w:firstLineChars="200"/>
        <w:contextualSpacing/>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本次检测范围包含：根据国家规范要求，对其所建设的</w:t>
      </w:r>
      <w:r>
        <w:rPr>
          <w:rFonts w:hint="eastAsia" w:ascii="宋体" w:hAnsi="宋体" w:eastAsia="宋体" w:cs="宋体"/>
          <w:b w:val="0"/>
          <w:bCs w:val="0"/>
          <w:color w:val="auto"/>
          <w:sz w:val="21"/>
          <w:szCs w:val="21"/>
          <w:lang w:val="en-US" w:eastAsia="zh-CN"/>
        </w:rPr>
        <w:t>上饶市人民医院城北院区信息系统采购项目</w:t>
      </w:r>
      <w:r>
        <w:rPr>
          <w:rFonts w:hint="eastAsia" w:ascii="宋体" w:hAnsi="宋体" w:eastAsia="宋体" w:cs="宋体"/>
          <w:b w:val="0"/>
          <w:bCs w:val="0"/>
          <w:color w:val="auto"/>
          <w:sz w:val="21"/>
          <w:szCs w:val="21"/>
          <w:lang w:eastAsia="zh-CN"/>
        </w:rPr>
        <w:t>进行第三方软件测评。本次软件测评主要对其软件功能性、性能效率、信息安全性、可靠性、易用性等指标进行第三方软件测评，并出具检测报告。</w:t>
      </w:r>
    </w:p>
    <w:p w14:paraId="0A604B3F">
      <w:pPr>
        <w:kinsoku/>
        <w:topLinePunct/>
        <w:autoSpaceDE/>
        <w:autoSpaceDN/>
        <w:spacing w:line="500" w:lineRule="exact"/>
        <w:ind w:firstLine="420" w:firstLineChars="20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2、检测标准</w:t>
      </w:r>
    </w:p>
    <w:p w14:paraId="2B336E4E">
      <w:pPr>
        <w:kinsoku/>
        <w:topLinePunct/>
        <w:autoSpaceDE/>
        <w:autoSpaceDN/>
        <w:spacing w:line="500" w:lineRule="exact"/>
        <w:ind w:firstLine="420" w:firstLineChars="200"/>
        <w:contextualSpacing/>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（1）GB/T 25000.51-2016《系统与软件工程 系统与软件质量要求和评价（SQuaRE）》第51部分：就绪可用软件产品（RUSP）的质量要求和测试细则；</w:t>
      </w:r>
    </w:p>
    <w:p w14:paraId="6F1B6593">
      <w:pPr>
        <w:kinsoku/>
        <w:topLinePunct/>
        <w:autoSpaceDE/>
        <w:autoSpaceDN/>
        <w:spacing w:line="500" w:lineRule="exact"/>
        <w:ind w:firstLine="420" w:firstLineChars="200"/>
        <w:contextualSpacing/>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（2）《计算机软件测试规范》GB/T 15532-2008</w:t>
      </w:r>
    </w:p>
    <w:p w14:paraId="09149DEF">
      <w:pPr>
        <w:kinsoku/>
        <w:topLinePunct/>
        <w:autoSpaceDE/>
        <w:autoSpaceDN/>
        <w:spacing w:line="500" w:lineRule="exact"/>
        <w:ind w:firstLine="420" w:firstLineChars="20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3、测试依据</w:t>
      </w:r>
    </w:p>
    <w:p w14:paraId="76FB9218">
      <w:pPr>
        <w:kinsoku/>
        <w:topLinePunct/>
        <w:autoSpaceDE/>
        <w:autoSpaceDN/>
        <w:spacing w:line="500" w:lineRule="exact"/>
        <w:ind w:firstLine="420" w:firstLineChars="200"/>
        <w:contextualSpacing/>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（1）《系统软件用户手册》</w:t>
      </w:r>
    </w:p>
    <w:p w14:paraId="2C208C5F">
      <w:pPr>
        <w:kinsoku/>
        <w:topLinePunct/>
        <w:autoSpaceDE/>
        <w:autoSpaceDN/>
        <w:spacing w:line="500" w:lineRule="exact"/>
        <w:ind w:firstLine="420" w:firstLineChars="200"/>
        <w:contextualSpacing/>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（2）《系统软件需求规格说明书》</w:t>
      </w:r>
    </w:p>
    <w:p w14:paraId="77B5D07B">
      <w:pPr>
        <w:kinsoku/>
        <w:topLinePunct/>
        <w:autoSpaceDE/>
        <w:autoSpaceDN/>
        <w:spacing w:line="500" w:lineRule="exact"/>
        <w:ind w:firstLine="420" w:firstLineChars="200"/>
        <w:contextualSpacing/>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（3）《系统软件详细设计文档》</w:t>
      </w:r>
    </w:p>
    <w:p w14:paraId="150BF2D3">
      <w:pPr>
        <w:kinsoku/>
        <w:topLinePunct/>
        <w:autoSpaceDE/>
        <w:autoSpaceDN/>
        <w:spacing w:line="500" w:lineRule="exact"/>
        <w:ind w:firstLine="420" w:firstLineChars="200"/>
        <w:contextualSpacing/>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（4）《项目施工合同文件》</w:t>
      </w:r>
    </w:p>
    <w:p w14:paraId="066F511D">
      <w:pPr>
        <w:kinsoku/>
        <w:topLinePunct/>
        <w:autoSpaceDE/>
        <w:autoSpaceDN/>
        <w:spacing w:line="500" w:lineRule="exact"/>
        <w:ind w:firstLine="420" w:firstLineChars="200"/>
        <w:contextualSpacing/>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（5）《项目施工招投标文件》等</w:t>
      </w:r>
    </w:p>
    <w:p w14:paraId="77876B72">
      <w:pPr>
        <w:kinsoku/>
        <w:topLinePunct/>
        <w:autoSpaceDE/>
        <w:autoSpaceDN/>
        <w:spacing w:line="500" w:lineRule="exact"/>
        <w:ind w:firstLine="420" w:firstLineChars="20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4、测试原则</w:t>
      </w:r>
    </w:p>
    <w:p w14:paraId="2131F12C">
      <w:pPr>
        <w:kinsoku/>
        <w:topLinePunct/>
        <w:autoSpaceDE/>
        <w:autoSpaceDN/>
        <w:spacing w:line="500" w:lineRule="exact"/>
        <w:ind w:firstLine="420" w:firstLineChars="200"/>
        <w:contextualSpacing/>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1）客观性和公正性原则：虽然评估工作不能完全摆脱个人主张或判断，但评估人员应当没有偏见，在最小主观判断情形下，按照评估双方相互认可的评估方案，基于明确定义的评估方式和解释，实施评估活动。</w:t>
      </w:r>
    </w:p>
    <w:p w14:paraId="13FDE919">
      <w:pPr>
        <w:kinsoku/>
        <w:topLinePunct/>
        <w:autoSpaceDE/>
        <w:autoSpaceDN/>
        <w:spacing w:line="500" w:lineRule="exact"/>
        <w:ind w:firstLine="420" w:firstLineChars="200"/>
        <w:contextualSpacing/>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2）可再现性原则：不论谁执行评估，依照同样的要求，使用同样的评估方式，对每个评估实施过程的重复执行应该得到同样的结果。可再现性和可重复性的区别在于，前者与不同评估者评估结果的一致性有关，后者与同一评估者评估结果的一致性有关。</w:t>
      </w:r>
    </w:p>
    <w:p w14:paraId="0EE41BD5">
      <w:pPr>
        <w:kinsoku/>
        <w:topLinePunct/>
        <w:autoSpaceDE/>
        <w:autoSpaceDN/>
        <w:spacing w:line="500" w:lineRule="exact"/>
        <w:ind w:firstLine="420" w:firstLineChars="200"/>
        <w:contextualSpacing/>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（3）结果完善性原则：评估所产生的结果应当证明是良好的判断和对评估项的正确理解。评估过程和结果应当服从正确的评估方法以确保其满足了评估项的要求。</w:t>
      </w:r>
    </w:p>
    <w:p w14:paraId="600C733F">
      <w:pPr>
        <w:kinsoku/>
        <w:topLinePunct/>
        <w:autoSpaceDE/>
        <w:autoSpaceDN/>
        <w:spacing w:line="500" w:lineRule="exact"/>
        <w:ind w:firstLine="420" w:firstLineChars="20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5、测试对象</w:t>
      </w:r>
    </w:p>
    <w:p w14:paraId="58AE32EB">
      <w:pPr>
        <w:keepNext w:val="0"/>
        <w:keepLines w:val="0"/>
        <w:widowControl/>
        <w:suppressLineNumbers w:val="0"/>
        <w:ind w:firstLine="420" w:firstLineChars="200"/>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上饶市人民医院城北院区信息系统采购项目</w:t>
      </w:r>
    </w:p>
    <w:p w14:paraId="2DE444F4">
      <w:pPr>
        <w:kinsoku/>
        <w:topLinePunct/>
        <w:autoSpaceDE/>
        <w:autoSpaceDN/>
        <w:spacing w:line="500" w:lineRule="exact"/>
        <w:ind w:firstLine="420" w:firstLineChars="20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6、测试内容</w:t>
      </w:r>
    </w:p>
    <w:p w14:paraId="2936077A">
      <w:pPr>
        <w:kinsoku/>
        <w:topLinePunct/>
        <w:autoSpaceDE/>
        <w:autoSpaceDN/>
        <w:spacing w:line="500" w:lineRule="exact"/>
        <w:ind w:firstLine="420" w:firstLineChars="20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软件测试内容：包括软件功能性、可靠性、易用性、性能效率、信息安全性等质量特性。</w:t>
      </w:r>
    </w:p>
    <w:p w14:paraId="18C9AE10">
      <w:pPr>
        <w:kinsoku/>
        <w:topLinePunct/>
        <w:autoSpaceDE/>
        <w:autoSpaceDN/>
        <w:spacing w:line="500" w:lineRule="exact"/>
        <w:ind w:firstLine="420" w:firstLineChars="20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（1）功能性测试</w:t>
      </w:r>
    </w:p>
    <w:p w14:paraId="0C274E05">
      <w:pPr>
        <w:kinsoku/>
        <w:topLinePunct/>
        <w:autoSpaceDE/>
        <w:autoSpaceDN/>
        <w:spacing w:line="500" w:lineRule="exact"/>
        <w:ind w:firstLine="420" w:firstLineChars="20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软件产品满足明确和隐含要求功能的能力。具体内容包括：完备性、正确性、恰当性、互操作性、安全保密性等。</w:t>
      </w:r>
    </w:p>
    <w:p w14:paraId="5AE8BDC0">
      <w:pPr>
        <w:kinsoku/>
        <w:topLinePunct/>
        <w:autoSpaceDE/>
        <w:autoSpaceDN/>
        <w:spacing w:line="500" w:lineRule="exact"/>
        <w:ind w:firstLine="420" w:firstLineChars="20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（2）可靠性测试</w:t>
      </w:r>
    </w:p>
    <w:p w14:paraId="2DC467D6">
      <w:pPr>
        <w:kinsoku/>
        <w:topLinePunct/>
        <w:autoSpaceDE/>
        <w:autoSpaceDN/>
        <w:spacing w:line="500" w:lineRule="exact"/>
        <w:ind w:firstLine="420" w:firstLineChars="20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软件产品维持规定的可靠性级别的能力。按照软件运行剖面对软件进行随机测试的测试方法。具体内容包括：成熟性、容错性、易恢复性等。</w:t>
      </w:r>
    </w:p>
    <w:p w14:paraId="62D04499">
      <w:pPr>
        <w:kinsoku/>
        <w:topLinePunct/>
        <w:autoSpaceDE/>
        <w:autoSpaceDN/>
        <w:spacing w:line="500" w:lineRule="exact"/>
        <w:ind w:firstLine="420" w:firstLineChars="20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（3）易用性测试</w:t>
      </w:r>
    </w:p>
    <w:p w14:paraId="6AE482D6">
      <w:pPr>
        <w:kinsoku/>
        <w:topLinePunct/>
        <w:autoSpaceDE/>
        <w:autoSpaceDN/>
        <w:spacing w:line="500" w:lineRule="exact"/>
        <w:ind w:firstLine="420" w:firstLineChars="20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软件产品被理解、学习、使用和吸引用户的能力。关注软件使用时是否感觉方便，能否通过简单的操作达到用户的目的，界面是否美观，排版是否合理等。具体内容包括：易理解性、易学性、易操作性、吸引性等。</w:t>
      </w:r>
    </w:p>
    <w:p w14:paraId="5B7C431A">
      <w:pPr>
        <w:kinsoku/>
        <w:topLinePunct/>
        <w:autoSpaceDE/>
        <w:autoSpaceDN/>
        <w:spacing w:line="500" w:lineRule="exact"/>
        <w:ind w:firstLine="420" w:firstLineChars="20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（4）效率性能测试</w:t>
      </w:r>
    </w:p>
    <w:p w14:paraId="492723EC">
      <w:pPr>
        <w:kinsoku/>
        <w:topLinePunct/>
        <w:autoSpaceDE/>
        <w:autoSpaceDN/>
        <w:spacing w:line="500" w:lineRule="exact"/>
        <w:ind w:firstLine="420" w:firstLineChars="20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软件产品所提供性能的能力。关注在多用户、大并发量的情况下系统是否满足客户的实际需要，主要从吞吐量、点击率、平均事物响应时间、负载下的平均事物</w:t>
      </w:r>
      <w:bookmarkStart w:id="7" w:name="_GoBack"/>
      <w:bookmarkEnd w:id="7"/>
      <w:r>
        <w:rPr>
          <w:rFonts w:hint="eastAsia" w:ascii="宋体" w:hAnsi="宋体" w:eastAsia="宋体" w:cs="宋体"/>
          <w:b w:val="0"/>
          <w:bCs w:val="0"/>
          <w:color w:val="auto"/>
          <w:sz w:val="21"/>
          <w:szCs w:val="21"/>
          <w:lang w:eastAsia="zh-CN"/>
        </w:rPr>
        <w:t>响应时间等来进行测试。具体内容包括：时间特性、资源利用率、容量等。</w:t>
      </w:r>
    </w:p>
    <w:p w14:paraId="7D99E8A7">
      <w:pPr>
        <w:kinsoku/>
        <w:topLinePunct/>
        <w:autoSpaceDE/>
        <w:autoSpaceDN/>
        <w:spacing w:line="500" w:lineRule="exact"/>
        <w:ind w:firstLine="420" w:firstLineChars="20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（5）信息安全性测试</w:t>
      </w:r>
    </w:p>
    <w:p w14:paraId="147F394B">
      <w:pPr>
        <w:kinsoku/>
        <w:topLinePunct/>
        <w:autoSpaceDE/>
        <w:autoSpaceDN/>
        <w:spacing w:line="500" w:lineRule="exact"/>
        <w:ind w:firstLine="420" w:firstLineChars="20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对系统的保密性、完整性、抗抵赖性、可核查性、真实性方面进行测试，验证系统的数据是否只有授权才可访问，验证系统是否可以防止数据被篡改，功能操作是否可以核查追溯等。</w:t>
      </w:r>
    </w:p>
    <w:p w14:paraId="6FC5B800">
      <w:pPr>
        <w:kinsoku/>
        <w:topLinePunct/>
        <w:autoSpaceDE/>
        <w:autoSpaceDN/>
        <w:spacing w:line="500" w:lineRule="exact"/>
        <w:ind w:firstLine="420" w:firstLineChars="20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 xml:space="preserve">7、组织协调 </w:t>
      </w:r>
    </w:p>
    <w:p w14:paraId="0F30DC54">
      <w:pPr>
        <w:kinsoku/>
        <w:topLinePunct/>
        <w:autoSpaceDE/>
        <w:autoSpaceDN/>
        <w:spacing w:line="500" w:lineRule="exact"/>
        <w:ind w:firstLine="420" w:firstLineChars="20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一般情况下，应组织召开有关第三方测试的专题会议，制订会议计划并起草会议纪要。当项目需要或采购方要求时，</w:t>
      </w:r>
      <w:r>
        <w:rPr>
          <w:rFonts w:hint="eastAsia" w:ascii="宋体" w:hAnsi="宋体" w:eastAsia="宋体" w:cs="宋体"/>
          <w:b w:val="0"/>
          <w:bCs w:val="0"/>
          <w:color w:val="auto"/>
          <w:sz w:val="21"/>
          <w:szCs w:val="21"/>
          <w:lang w:val="en-US" w:eastAsia="zh-CN"/>
        </w:rPr>
        <w:t>投标方</w:t>
      </w:r>
      <w:r>
        <w:rPr>
          <w:rFonts w:hint="eastAsia" w:ascii="宋体" w:hAnsi="宋体" w:eastAsia="宋体" w:cs="宋体"/>
          <w:b w:val="0"/>
          <w:bCs w:val="0"/>
          <w:color w:val="auto"/>
          <w:sz w:val="21"/>
          <w:szCs w:val="21"/>
          <w:lang w:eastAsia="zh-CN"/>
        </w:rPr>
        <w:t>应参加例会，以解决各类日常协调问题。</w:t>
      </w:r>
    </w:p>
    <w:p w14:paraId="60812D99">
      <w:pPr>
        <w:kinsoku/>
        <w:topLinePunct/>
        <w:autoSpaceDE/>
        <w:autoSpaceDN/>
        <w:spacing w:line="500" w:lineRule="exact"/>
        <w:ind w:firstLine="420" w:firstLineChars="20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 xml:space="preserve">8、提交的成果 </w:t>
      </w:r>
    </w:p>
    <w:p w14:paraId="56BF316E">
      <w:pPr>
        <w:kinsoku/>
        <w:topLinePunct/>
        <w:autoSpaceDE/>
        <w:autoSpaceDN/>
        <w:spacing w:line="500" w:lineRule="exact"/>
        <w:ind w:firstLine="420" w:firstLineChars="20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（1）检测报告</w:t>
      </w:r>
    </w:p>
    <w:p w14:paraId="7FD8238C">
      <w:pPr>
        <w:kinsoku/>
        <w:topLinePunct/>
        <w:autoSpaceDE/>
        <w:autoSpaceDN/>
        <w:spacing w:line="500" w:lineRule="exact"/>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（2）检测方案</w:t>
      </w:r>
    </w:p>
    <w:p w14:paraId="3BEE288D">
      <w:pPr>
        <w:kinsoku/>
        <w:topLinePunct/>
        <w:autoSpaceDE/>
        <w:autoSpaceDN/>
        <w:adjustRightInd/>
        <w:snapToGrid/>
        <w:spacing w:after="160" w:line="278" w:lineRule="auto"/>
        <w:textAlignment w:val="auto"/>
        <w:rPr>
          <w:b w:val="0"/>
          <w:bCs w:val="0"/>
          <w:color w:val="auto"/>
          <w:sz w:val="21"/>
          <w:szCs w:val="21"/>
        </w:rPr>
      </w:pPr>
      <w:r>
        <w:rPr>
          <w:b w:val="0"/>
          <w:bCs w:val="0"/>
          <w:color w:val="auto"/>
          <w:sz w:val="21"/>
          <w:szCs w:val="21"/>
        </w:rPr>
        <w:br w:type="page"/>
      </w:r>
    </w:p>
    <w:p w14:paraId="3A9688C2">
      <w:pPr>
        <w:pStyle w:val="32"/>
        <w:numPr>
          <w:ilvl w:val="0"/>
          <w:numId w:val="1"/>
        </w:numPr>
        <w:kinsoku/>
        <w:topLinePunct/>
        <w:autoSpaceDE/>
        <w:autoSpaceDN/>
        <w:spacing w:line="360" w:lineRule="auto"/>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商务条件</w:t>
      </w:r>
    </w:p>
    <w:p w14:paraId="3C0944A8">
      <w:pPr>
        <w:widowControl w:val="0"/>
        <w:kinsoku/>
        <w:topLinePunct/>
        <w:autoSpaceDE/>
        <w:autoSpaceDN/>
        <w:adjustRightInd/>
        <w:snapToGrid/>
        <w:spacing w:line="500" w:lineRule="exact"/>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1、服务地点：采购人指定地点。</w:t>
      </w:r>
    </w:p>
    <w:p w14:paraId="4A9BB420">
      <w:pPr>
        <w:widowControl w:val="0"/>
        <w:kinsoku/>
        <w:topLinePunct/>
        <w:autoSpaceDE/>
        <w:autoSpaceDN/>
        <w:adjustRightInd/>
        <w:snapToGrid/>
        <w:spacing w:line="500" w:lineRule="exact"/>
        <w:ind w:firstLine="420" w:firstLineChars="200"/>
        <w:textAlignment w:val="auto"/>
        <w:rPr>
          <w:rFonts w:hint="eastAsia" w:ascii="宋体" w:hAnsi="宋体" w:eastAsia="宋体" w:cs="宋体"/>
          <w:b w:val="0"/>
          <w:bCs w:val="0"/>
          <w:color w:val="auto"/>
          <w:spacing w:val="-4"/>
          <w:sz w:val="21"/>
          <w:szCs w:val="21"/>
          <w:lang w:eastAsia="zh-CN"/>
        </w:rPr>
      </w:pPr>
      <w:r>
        <w:rPr>
          <w:rFonts w:hint="eastAsia" w:ascii="宋体" w:hAnsi="宋体" w:eastAsia="宋体" w:cs="宋体"/>
          <w:b w:val="0"/>
          <w:bCs w:val="0"/>
          <w:color w:val="auto"/>
          <w:sz w:val="21"/>
          <w:szCs w:val="21"/>
          <w:lang w:eastAsia="zh-CN"/>
        </w:rPr>
        <w:t>2、服务时间：</w:t>
      </w:r>
      <w:r>
        <w:rPr>
          <w:rFonts w:hint="eastAsia" w:ascii="宋体" w:hAnsi="宋体" w:eastAsia="宋体" w:cs="宋体"/>
          <w:b w:val="0"/>
          <w:bCs w:val="0"/>
          <w:color w:val="auto"/>
          <w:spacing w:val="-4"/>
          <w:sz w:val="21"/>
          <w:szCs w:val="21"/>
          <w:lang w:eastAsia="zh-CN"/>
        </w:rPr>
        <w:t>90天。</w:t>
      </w:r>
    </w:p>
    <w:p w14:paraId="525A1A52">
      <w:pPr>
        <w:widowControl w:val="0"/>
        <w:kinsoku/>
        <w:topLinePunct/>
        <w:autoSpaceDE/>
        <w:autoSpaceDN/>
        <w:adjustRightInd/>
        <w:snapToGrid/>
        <w:spacing w:line="500" w:lineRule="exact"/>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3、验收：完成本项目的软件验收测试，并提供检测报告。</w:t>
      </w:r>
    </w:p>
    <w:p w14:paraId="65B0AECD">
      <w:pPr>
        <w:widowControl w:val="0"/>
        <w:kinsoku/>
        <w:topLinePunct/>
        <w:autoSpaceDE/>
        <w:autoSpaceDN/>
        <w:adjustRightInd/>
        <w:snapToGrid/>
        <w:spacing w:line="500" w:lineRule="exact"/>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5、付款方式：合同签订后，成交</w:t>
      </w:r>
      <w:r>
        <w:rPr>
          <w:rFonts w:hint="eastAsia" w:ascii="宋体" w:hAnsi="宋体" w:eastAsia="宋体" w:cs="宋体"/>
          <w:b w:val="0"/>
          <w:bCs w:val="0"/>
          <w:color w:val="auto"/>
          <w:sz w:val="21"/>
          <w:szCs w:val="21"/>
          <w:lang w:val="en-US" w:eastAsia="zh-CN"/>
        </w:rPr>
        <w:t>投标方</w:t>
      </w:r>
      <w:r>
        <w:rPr>
          <w:rFonts w:hint="eastAsia" w:ascii="宋体" w:hAnsi="宋体" w:eastAsia="宋体" w:cs="宋体"/>
          <w:b w:val="0"/>
          <w:bCs w:val="0"/>
          <w:color w:val="auto"/>
          <w:sz w:val="21"/>
          <w:szCs w:val="21"/>
          <w:lang w:eastAsia="zh-CN"/>
        </w:rPr>
        <w:t>安排检测，在测试完成后提交纸质检测报告，采购人支付检测费用。</w:t>
      </w:r>
    </w:p>
    <w:p w14:paraId="304FA0E1">
      <w:pPr>
        <w:pStyle w:val="2"/>
        <w:rPr>
          <w:rFonts w:hint="default"/>
          <w:color w:val="auto"/>
          <w:lang w:val="en-US" w:eastAsia="zh-CN"/>
        </w:rPr>
      </w:pPr>
      <w:r>
        <w:rPr>
          <w:rFonts w:hint="eastAsia" w:ascii="宋体" w:hAnsi="宋体" w:eastAsia="宋体" w:cs="宋体"/>
          <w:b w:val="0"/>
          <w:bCs w:val="0"/>
          <w:color w:val="auto"/>
          <w:sz w:val="21"/>
          <w:szCs w:val="21"/>
          <w:lang w:val="en-US" w:eastAsia="zh-CN"/>
        </w:rPr>
        <w:t>预算：20万元。</w:t>
      </w:r>
    </w:p>
    <w:p w14:paraId="365A3BE4">
      <w:pPr>
        <w:kinsoku/>
        <w:topLinePunct/>
        <w:autoSpaceDE/>
        <w:autoSpaceDN/>
        <w:adjustRightInd/>
        <w:snapToGrid/>
        <w:spacing w:after="160" w:line="278" w:lineRule="auto"/>
        <w:textAlignment w:val="auto"/>
        <w:rPr>
          <w:b w:val="0"/>
          <w:bCs w:val="0"/>
          <w:color w:val="auto"/>
          <w:sz w:val="21"/>
          <w:szCs w:val="21"/>
          <w:lang w:eastAsia="zh-CN"/>
        </w:rPr>
      </w:pPr>
      <w:r>
        <w:rPr>
          <w:b w:val="0"/>
          <w:bCs w:val="0"/>
          <w:color w:val="auto"/>
          <w:sz w:val="21"/>
          <w:szCs w:val="21"/>
          <w:lang w:eastAsia="zh-CN"/>
        </w:rPr>
        <w:br w:type="page"/>
      </w:r>
    </w:p>
    <w:p w14:paraId="708FA734">
      <w:pPr>
        <w:kinsoku/>
        <w:topLinePunct/>
        <w:autoSpaceDE/>
        <w:autoSpaceDN/>
        <w:spacing w:line="500" w:lineRule="exact"/>
        <w:ind w:firstLine="420" w:firstLineChars="200"/>
        <w:jc w:val="center"/>
        <w:rPr>
          <w:rFonts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评审标准</w:t>
      </w:r>
    </w:p>
    <w:p w14:paraId="55347C15">
      <w:pPr>
        <w:kinsoku/>
        <w:topLinePunct/>
        <w:autoSpaceDE/>
        <w:autoSpaceDN/>
        <w:spacing w:line="500" w:lineRule="exact"/>
        <w:ind w:firstLine="420" w:firstLineChars="20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按照磋商文件中规定的评审方法和标准，磋商小组采用综合评分法对符合性审查合格且提交了最后报价的</w:t>
      </w:r>
      <w:r>
        <w:rPr>
          <w:rFonts w:hint="eastAsia" w:ascii="宋体" w:hAnsi="宋体" w:eastAsia="宋体" w:cs="宋体"/>
          <w:b w:val="0"/>
          <w:bCs w:val="0"/>
          <w:color w:val="auto"/>
          <w:sz w:val="21"/>
          <w:szCs w:val="21"/>
          <w:lang w:val="en-US" w:eastAsia="zh-CN"/>
        </w:rPr>
        <w:t>投标方</w:t>
      </w:r>
      <w:r>
        <w:rPr>
          <w:rFonts w:hint="eastAsia" w:ascii="宋体" w:hAnsi="宋体" w:eastAsia="宋体" w:cs="宋体"/>
          <w:b w:val="0"/>
          <w:bCs w:val="0"/>
          <w:color w:val="auto"/>
          <w:sz w:val="21"/>
          <w:szCs w:val="21"/>
          <w:lang w:eastAsia="zh-CN"/>
        </w:rPr>
        <w:t>的投标文件和最后报价进行综合评分。</w:t>
      </w:r>
    </w:p>
    <w:p w14:paraId="18C84EB6">
      <w:pPr>
        <w:kinsoku/>
        <w:topLinePunct/>
        <w:autoSpaceDE/>
        <w:autoSpaceDN/>
        <w:spacing w:before="312" w:beforeLines="100" w:after="312" w:afterLines="100"/>
        <w:ind w:firstLine="210" w:firstLineChars="100"/>
        <w:outlineLvl w:val="1"/>
        <w:rPr>
          <w:rFonts w:hint="eastAsia" w:ascii="宋体" w:hAnsi="宋体" w:eastAsia="宋体" w:cs="宋体"/>
          <w:b w:val="0"/>
          <w:bCs w:val="0"/>
          <w:color w:val="auto"/>
          <w:sz w:val="21"/>
          <w:szCs w:val="21"/>
          <w:lang w:eastAsia="zh-CN"/>
        </w:rPr>
      </w:pPr>
      <w:bookmarkStart w:id="3" w:name="_Toc13351"/>
      <w:r>
        <w:rPr>
          <w:rFonts w:hint="eastAsia" w:ascii="宋体" w:hAnsi="宋体" w:eastAsia="宋体" w:cs="宋体"/>
          <w:b w:val="0"/>
          <w:bCs w:val="0"/>
          <w:color w:val="auto"/>
          <w:sz w:val="21"/>
          <w:szCs w:val="21"/>
          <w:lang w:eastAsia="zh-CN"/>
        </w:rPr>
        <w:t>技术评审</w:t>
      </w:r>
      <w:bookmarkEnd w:id="3"/>
    </w:p>
    <w:tbl>
      <w:tblPr>
        <w:tblStyle w:val="17"/>
        <w:tblW w:w="1005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8648"/>
      </w:tblGrid>
      <w:tr w14:paraId="36DEAC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3" w:type="dxa"/>
            <w:tcBorders>
              <w:tl2br w:val="nil"/>
              <w:tr2bl w:val="nil"/>
            </w:tcBorders>
            <w:vAlign w:val="center"/>
          </w:tcPr>
          <w:p w14:paraId="5780568F">
            <w:pPr>
              <w:kinsoku/>
              <w:topLinePunct/>
              <w:autoSpaceDE/>
              <w:autoSpaceDN/>
              <w:jc w:val="center"/>
              <w:rPr>
                <w:rFonts w:hint="eastAsia" w:ascii="宋体" w:hAnsi="宋体" w:eastAsia="宋体" w:cs="宋体"/>
                <w:b w:val="0"/>
                <w:bCs w:val="0"/>
                <w:color w:val="auto"/>
                <w:sz w:val="21"/>
                <w:szCs w:val="21"/>
              </w:rPr>
            </w:pPr>
          </w:p>
        </w:tc>
        <w:tc>
          <w:tcPr>
            <w:tcW w:w="8648" w:type="dxa"/>
            <w:tcBorders>
              <w:tl2br w:val="nil"/>
              <w:tr2bl w:val="nil"/>
            </w:tcBorders>
            <w:vAlign w:val="center"/>
          </w:tcPr>
          <w:p w14:paraId="2E52BB0D">
            <w:pPr>
              <w:kinsoku/>
              <w:topLinePunct/>
              <w:autoSpaceDE/>
              <w:autoSpaceDN/>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评审内容</w:t>
            </w:r>
          </w:p>
        </w:tc>
      </w:tr>
      <w:tr w14:paraId="15FA1D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403" w:type="dxa"/>
            <w:tcBorders>
              <w:tl2br w:val="nil"/>
              <w:tr2bl w:val="nil"/>
            </w:tcBorders>
            <w:vAlign w:val="center"/>
          </w:tcPr>
          <w:p w14:paraId="178F6EDA">
            <w:pPr>
              <w:kinsoku/>
              <w:topLinePunct/>
              <w:autoSpaceDE/>
              <w:autoSpaceDN/>
              <w:spacing w:line="500" w:lineRule="atLeast"/>
              <w:jc w:val="center"/>
              <w:rPr>
                <w:rFonts w:hint="eastAsia" w:ascii="宋体" w:hAnsi="宋体" w:eastAsia="宋体" w:cs="宋体"/>
                <w:b w:val="0"/>
                <w:bCs w:val="0"/>
                <w:color w:val="auto"/>
                <w:kern w:val="2"/>
                <w:sz w:val="21"/>
                <w:szCs w:val="21"/>
                <w:lang w:eastAsia="zh-CN"/>
              </w:rPr>
            </w:pPr>
            <w:r>
              <w:rPr>
                <w:rFonts w:hint="eastAsia" w:ascii="宋体" w:hAnsi="宋体" w:cs="仿宋"/>
                <w:b w:val="0"/>
                <w:bCs w:val="0"/>
                <w:color w:val="auto"/>
                <w:sz w:val="21"/>
                <w:szCs w:val="21"/>
                <w:lang w:eastAsia="zh-CN"/>
              </w:rPr>
              <w:t>符合性审查</w:t>
            </w:r>
          </w:p>
        </w:tc>
        <w:tc>
          <w:tcPr>
            <w:tcW w:w="8648" w:type="dxa"/>
            <w:tcBorders>
              <w:tl2br w:val="nil"/>
              <w:tr2bl w:val="nil"/>
            </w:tcBorders>
            <w:vAlign w:val="center"/>
          </w:tcPr>
          <w:p w14:paraId="749C66CD">
            <w:pPr>
              <w:kinsoku/>
              <w:topLinePunct/>
              <w:autoSpaceDE/>
              <w:autoSpaceDN/>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必须全部满足磋商文件“二、采购要求”内“技术要求”中全部要求，任意一条不满足作无效投标处理。</w:t>
            </w:r>
          </w:p>
          <w:p w14:paraId="2F20BCDC">
            <w:pPr>
              <w:kinsoku/>
              <w:topLinePunct/>
              <w:autoSpaceDE/>
              <w:autoSpaceDN/>
              <w:rPr>
                <w:rFonts w:eastAsia="黑体"/>
                <w:b w:val="0"/>
                <w:bCs w:val="0"/>
                <w:color w:val="auto"/>
                <w:kern w:val="2"/>
                <w:sz w:val="21"/>
                <w:szCs w:val="21"/>
                <w:lang w:eastAsia="zh-CN"/>
              </w:rPr>
            </w:pPr>
          </w:p>
        </w:tc>
      </w:tr>
      <w:tr w14:paraId="54FE5D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403" w:type="dxa"/>
            <w:tcBorders>
              <w:tl2br w:val="nil"/>
              <w:tr2bl w:val="nil"/>
            </w:tcBorders>
            <w:vAlign w:val="center"/>
          </w:tcPr>
          <w:p w14:paraId="37491408">
            <w:pPr>
              <w:kinsoku/>
              <w:topLinePunct/>
              <w:autoSpaceDE/>
              <w:autoSpaceDN/>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整体实施技术方案</w:t>
            </w:r>
          </w:p>
        </w:tc>
        <w:tc>
          <w:tcPr>
            <w:tcW w:w="8648" w:type="dxa"/>
            <w:tcBorders>
              <w:tl2br w:val="nil"/>
              <w:tr2bl w:val="nil"/>
            </w:tcBorders>
          </w:tcPr>
          <w:p w14:paraId="64322EE1">
            <w:pPr>
              <w:widowControl w:val="0"/>
              <w:kinsoku/>
              <w:topLinePunct/>
              <w:autoSpaceDE/>
              <w:autoSpaceDN/>
              <w:adjustRightInd/>
              <w:snapToGrid/>
              <w:jc w:val="left"/>
              <w:textAlignment w:val="auto"/>
              <w:rPr>
                <w:rFonts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投标方</w:t>
            </w:r>
            <w:r>
              <w:rPr>
                <w:rFonts w:hint="eastAsia" w:ascii="宋体" w:hAnsi="宋体" w:eastAsia="宋体" w:cs="宋体"/>
                <w:b w:val="0"/>
                <w:bCs w:val="0"/>
                <w:color w:val="auto"/>
                <w:sz w:val="21"/>
                <w:szCs w:val="21"/>
                <w:lang w:eastAsia="zh-CN"/>
              </w:rPr>
              <w:t>针对本项目提供整体实施技术方案，内容包括但不限于：</w:t>
            </w:r>
          </w:p>
          <w:p w14:paraId="3A5B2099">
            <w:pPr>
              <w:kinsoku/>
              <w:topLinePunct/>
              <w:autoSpaceDE/>
              <w:autoSpaceDN/>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①制定项目进度安排、②应急处理措施、③风险管理措施、④质量管理措施等</w:t>
            </w:r>
            <w:bookmarkStart w:id="4" w:name="_Toc32198"/>
            <w:bookmarkStart w:id="5" w:name="_Toc19620"/>
            <w:r>
              <w:rPr>
                <w:rFonts w:hint="eastAsia" w:ascii="宋体" w:hAnsi="宋体" w:eastAsia="宋体" w:cs="宋体"/>
                <w:b w:val="0"/>
                <w:bCs w:val="0"/>
                <w:color w:val="auto"/>
                <w:sz w:val="21"/>
                <w:szCs w:val="21"/>
                <w:lang w:eastAsia="zh-CN"/>
              </w:rPr>
              <w:t>。（投标文件中须提供方案并加盖公章。</w:t>
            </w:r>
            <w:bookmarkEnd w:id="4"/>
            <w:bookmarkEnd w:id="5"/>
            <w:r>
              <w:rPr>
                <w:rFonts w:hint="eastAsia" w:ascii="宋体" w:hAnsi="宋体" w:eastAsia="宋体" w:cs="宋体"/>
                <w:b w:val="0"/>
                <w:bCs w:val="0"/>
                <w:color w:val="auto"/>
                <w:sz w:val="21"/>
                <w:szCs w:val="21"/>
                <w:lang w:eastAsia="zh-CN"/>
              </w:rPr>
              <w:t>）</w:t>
            </w:r>
          </w:p>
        </w:tc>
      </w:tr>
      <w:tr w14:paraId="01FB45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3" w:type="dxa"/>
            <w:tcBorders>
              <w:tl2br w:val="nil"/>
              <w:tr2bl w:val="nil"/>
            </w:tcBorders>
            <w:vAlign w:val="center"/>
          </w:tcPr>
          <w:p w14:paraId="3D489DA0">
            <w:pPr>
              <w:kinsoku/>
              <w:topLinePunct/>
              <w:autoSpaceDE/>
              <w:autoSpaceDN/>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总测评师</w:t>
            </w:r>
          </w:p>
          <w:p w14:paraId="25D3D1A7">
            <w:pPr>
              <w:kinsoku/>
              <w:topLinePunct/>
              <w:autoSpaceDE/>
              <w:autoSpaceDN/>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能力</w:t>
            </w:r>
          </w:p>
        </w:tc>
        <w:tc>
          <w:tcPr>
            <w:tcW w:w="8648" w:type="dxa"/>
            <w:tcBorders>
              <w:tl2br w:val="nil"/>
              <w:tr2bl w:val="nil"/>
            </w:tcBorders>
          </w:tcPr>
          <w:p w14:paraId="4A1EB4EE">
            <w:pPr>
              <w:kinsoku/>
              <w:topLinePunct/>
              <w:autoSpaceDE/>
              <w:autoSpaceDN/>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拟派本项目总测评师若具有以下证书或资格：</w:t>
            </w:r>
          </w:p>
          <w:p w14:paraId="170FF052">
            <w:pPr>
              <w:kinsoku/>
              <w:topLinePunct/>
              <w:autoSpaceDE/>
              <w:autoSpaceDN/>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（1）高级信息系统项目管理师（职称管理部门颁发）；</w:t>
            </w:r>
          </w:p>
          <w:p w14:paraId="598335CE">
            <w:pPr>
              <w:kinsoku/>
              <w:topLinePunct/>
              <w:autoSpaceDE/>
              <w:autoSpaceDN/>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（2）软件性能测试高级工程师证书（软考或中国软件评测中心工业和信息化部软件与集成电路促进中心颁发）；</w:t>
            </w:r>
          </w:p>
          <w:p w14:paraId="19B40CA2">
            <w:pPr>
              <w:kinsoku/>
              <w:topLinePunct/>
              <w:autoSpaceDE/>
              <w:autoSpaceDN/>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（3）软件质量检验师（工业和信息化部教育与考试中心颁发）</w:t>
            </w:r>
          </w:p>
          <w:p w14:paraId="2B5572CD">
            <w:pPr>
              <w:kinsoku/>
              <w:topLinePunct/>
              <w:autoSpaceDE/>
              <w:autoSpaceDN/>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（4）具有质量技术监督部门授予的CMA证书授权签字资格。</w:t>
            </w:r>
          </w:p>
          <w:p w14:paraId="56CC984A">
            <w:pPr>
              <w:kinsoku/>
              <w:topLinePunct/>
              <w:autoSpaceDE/>
              <w:autoSpaceDN/>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评审依据：提供相关证书复印件或扫描件，并加盖公章以及在磋商前近6个月（不含当月）中任意1个月依法为其缴纳社会保险的证明材料复印件加盖公章。</w:t>
            </w:r>
          </w:p>
        </w:tc>
      </w:tr>
      <w:tr w14:paraId="44A56E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3" w:type="dxa"/>
            <w:tcBorders>
              <w:tl2br w:val="nil"/>
              <w:tr2bl w:val="nil"/>
            </w:tcBorders>
            <w:vAlign w:val="center"/>
          </w:tcPr>
          <w:p w14:paraId="1FA5E138">
            <w:pPr>
              <w:kinsoku/>
              <w:topLinePunct/>
              <w:autoSpaceDE/>
              <w:autoSpaceDN/>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团队人员</w:t>
            </w:r>
          </w:p>
          <w:p w14:paraId="39BDF125">
            <w:pPr>
              <w:kinsoku/>
              <w:topLinePunct/>
              <w:autoSpaceDE/>
              <w:autoSpaceDN/>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能力</w:t>
            </w:r>
          </w:p>
        </w:tc>
        <w:tc>
          <w:tcPr>
            <w:tcW w:w="8648" w:type="dxa"/>
            <w:tcBorders>
              <w:tl2br w:val="nil"/>
              <w:tr2bl w:val="nil"/>
            </w:tcBorders>
          </w:tcPr>
          <w:p w14:paraId="46D8F414">
            <w:pPr>
              <w:kinsoku/>
              <w:topLinePunct/>
              <w:autoSpaceDE/>
              <w:autoSpaceDN/>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除总评测工程师外，派驻的专业测评工程师团队中若具有：</w:t>
            </w:r>
          </w:p>
          <w:p w14:paraId="0C1882BA">
            <w:pPr>
              <w:kinsoku/>
              <w:topLinePunct/>
              <w:autoSpaceDE/>
              <w:autoSpaceDN/>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（1）高级信息安全管理工程师（软考或工业和信息化部教育与考试中心颁发）；</w:t>
            </w:r>
          </w:p>
          <w:p w14:paraId="235BDCC8">
            <w:pPr>
              <w:kinsoku/>
              <w:topLinePunct/>
              <w:autoSpaceDE/>
              <w:autoSpaceDN/>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（2）软件评测师（软考或中国软件测评中心工业和信息化部软件与集成电路促进中心颁发）；</w:t>
            </w:r>
          </w:p>
          <w:p w14:paraId="1631BBE0">
            <w:pPr>
              <w:kinsoku/>
              <w:topLinePunct/>
              <w:autoSpaceDE/>
              <w:autoSpaceDN/>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（3）注册信息安全工程师CISP（中国信息安全测评中心颁发）；</w:t>
            </w:r>
          </w:p>
          <w:p w14:paraId="0D014457">
            <w:pPr>
              <w:kinsoku/>
              <w:topLinePunct/>
              <w:autoSpaceDE/>
              <w:autoSpaceDN/>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（4）软件代码审计师（工业和信息化部电子工业标准化研究院颁发）。</w:t>
            </w:r>
          </w:p>
          <w:p w14:paraId="51F87B77">
            <w:pPr>
              <w:kinsoku/>
              <w:topLinePunct/>
              <w:autoSpaceDE/>
              <w:autoSpaceDN/>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评审依据：提供团队人员名单、相关证书复印件或扫描件，并加盖公章以及在磋商前近6个月（不含磋商当月）中任意1个月依法为相关人员缴纳社会保险的证明材料复印件加盖公章。</w:t>
            </w:r>
          </w:p>
        </w:tc>
      </w:tr>
      <w:tr w14:paraId="373FCE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403" w:type="dxa"/>
            <w:tcBorders>
              <w:tl2br w:val="nil"/>
              <w:tr2bl w:val="nil"/>
            </w:tcBorders>
            <w:vAlign w:val="center"/>
          </w:tcPr>
          <w:p w14:paraId="199A8D3F">
            <w:pPr>
              <w:kinsoku/>
              <w:topLinePunct/>
              <w:autoSpaceDE/>
              <w:autoSpaceDN/>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专业测试及管理工具</w:t>
            </w:r>
          </w:p>
        </w:tc>
        <w:tc>
          <w:tcPr>
            <w:tcW w:w="8648" w:type="dxa"/>
            <w:tcBorders>
              <w:tl2br w:val="nil"/>
              <w:tr2bl w:val="nil"/>
            </w:tcBorders>
          </w:tcPr>
          <w:p w14:paraId="59295A84">
            <w:pPr>
              <w:kinsoku/>
              <w:topLinePunct/>
              <w:autoSpaceDE/>
              <w:autoSpaceDN/>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为保证项目顺利实施，</w:t>
            </w:r>
            <w:r>
              <w:rPr>
                <w:rFonts w:hint="eastAsia" w:ascii="宋体" w:hAnsi="宋体" w:eastAsia="宋体" w:cs="宋体"/>
                <w:b w:val="0"/>
                <w:bCs w:val="0"/>
                <w:color w:val="auto"/>
                <w:sz w:val="21"/>
                <w:szCs w:val="21"/>
                <w:lang w:val="en-US" w:eastAsia="zh-CN"/>
              </w:rPr>
              <w:t>投标方需</w:t>
            </w:r>
            <w:r>
              <w:rPr>
                <w:rFonts w:hint="eastAsia" w:ascii="宋体" w:hAnsi="宋体" w:eastAsia="宋体" w:cs="宋体"/>
                <w:b w:val="0"/>
                <w:bCs w:val="0"/>
                <w:color w:val="auto"/>
                <w:sz w:val="21"/>
                <w:szCs w:val="21"/>
                <w:lang w:eastAsia="zh-CN"/>
              </w:rPr>
              <w:t>具有自主研发或购买信息系统测评有关的检测平台或工具，若具有：①信息系统的功能检测相关软件；②网络信息安全检测相关系统；③网络性能测试的多任务调度相关系统；④检测实验数据智能管理相关系统；⑤检测数据综合分析相关平台的。</w:t>
            </w:r>
          </w:p>
          <w:p w14:paraId="7C2BCC0B">
            <w:pPr>
              <w:kinsoku/>
              <w:topLinePunct/>
              <w:autoSpaceDE/>
              <w:autoSpaceDN/>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评审依据：投标文件中须提供：①所有相应模块的《计算机软件著作权登记证书》复印件加盖公章；②</w:t>
            </w:r>
            <w:r>
              <w:rPr>
                <w:rFonts w:hint="eastAsia" w:ascii="宋体" w:hAnsi="宋体" w:eastAsia="宋体" w:cs="宋体"/>
                <w:b w:val="0"/>
                <w:bCs w:val="0"/>
                <w:color w:val="auto"/>
                <w:sz w:val="21"/>
                <w:szCs w:val="21"/>
                <w:lang w:val="en-US" w:eastAsia="zh-CN"/>
              </w:rPr>
              <w:t>投标方</w:t>
            </w:r>
            <w:r>
              <w:rPr>
                <w:rFonts w:hint="eastAsia" w:ascii="宋体" w:hAnsi="宋体" w:eastAsia="宋体" w:cs="宋体"/>
                <w:b w:val="0"/>
                <w:bCs w:val="0"/>
                <w:color w:val="auto"/>
                <w:sz w:val="21"/>
                <w:szCs w:val="21"/>
                <w:lang w:eastAsia="zh-CN"/>
              </w:rPr>
              <w:t>出具的该软件为本项目服务的承诺函（格式自拟）复印件加盖公章。</w:t>
            </w:r>
          </w:p>
        </w:tc>
      </w:tr>
    </w:tbl>
    <w:p w14:paraId="25E9FAC1">
      <w:pPr>
        <w:kinsoku/>
        <w:topLinePunct/>
        <w:autoSpaceDE/>
        <w:autoSpaceDN/>
        <w:spacing w:before="312" w:beforeLines="100" w:after="312" w:afterLines="100"/>
        <w:outlineLvl w:val="1"/>
        <w:rPr>
          <w:rFonts w:hint="eastAsia" w:ascii="宋体" w:hAnsi="宋体" w:eastAsia="宋体" w:cs="宋体"/>
          <w:b w:val="0"/>
          <w:bCs w:val="0"/>
          <w:color w:val="auto"/>
          <w:sz w:val="21"/>
          <w:szCs w:val="21"/>
          <w:lang w:eastAsia="zh-CN"/>
        </w:rPr>
      </w:pPr>
      <w:bookmarkStart w:id="6" w:name="_Toc30559"/>
      <w:r>
        <w:rPr>
          <w:rFonts w:hint="eastAsia" w:ascii="宋体" w:hAnsi="宋体" w:eastAsia="宋体" w:cs="宋体"/>
          <w:b w:val="0"/>
          <w:bCs w:val="0"/>
          <w:color w:val="auto"/>
          <w:sz w:val="21"/>
          <w:szCs w:val="21"/>
          <w:lang w:eastAsia="zh-CN"/>
        </w:rPr>
        <w:t>（三）商务评审</w:t>
      </w:r>
      <w:bookmarkEnd w:id="6"/>
    </w:p>
    <w:tbl>
      <w:tblPr>
        <w:tblStyle w:val="17"/>
        <w:tblW w:w="101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8762"/>
      </w:tblGrid>
      <w:tr w14:paraId="0FA186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2" w:type="dxa"/>
            <w:tcBorders>
              <w:tl2br w:val="nil"/>
              <w:tr2bl w:val="nil"/>
            </w:tcBorders>
            <w:vAlign w:val="center"/>
          </w:tcPr>
          <w:p w14:paraId="1C458167">
            <w:pPr>
              <w:kinsoku/>
              <w:topLinePunct/>
              <w:autoSpaceDE/>
              <w:autoSpaceDN/>
              <w:jc w:val="center"/>
              <w:rPr>
                <w:rFonts w:hint="eastAsia" w:ascii="宋体" w:hAnsi="宋体" w:eastAsia="宋体" w:cs="宋体"/>
                <w:b w:val="0"/>
                <w:bCs w:val="0"/>
                <w:color w:val="auto"/>
                <w:sz w:val="21"/>
                <w:szCs w:val="21"/>
              </w:rPr>
            </w:pPr>
          </w:p>
        </w:tc>
        <w:tc>
          <w:tcPr>
            <w:tcW w:w="8762" w:type="dxa"/>
            <w:tcBorders>
              <w:tl2br w:val="nil"/>
              <w:tr2bl w:val="nil"/>
            </w:tcBorders>
            <w:vAlign w:val="center"/>
          </w:tcPr>
          <w:p w14:paraId="63E97E5C">
            <w:pPr>
              <w:kinsoku/>
              <w:topLinePunct/>
              <w:autoSpaceDE/>
              <w:autoSpaceDN/>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评审内容</w:t>
            </w:r>
          </w:p>
        </w:tc>
      </w:tr>
      <w:tr w14:paraId="721B9E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342" w:type="dxa"/>
            <w:tcBorders>
              <w:tl2br w:val="nil"/>
              <w:tr2bl w:val="nil"/>
            </w:tcBorders>
            <w:vAlign w:val="center"/>
          </w:tcPr>
          <w:p w14:paraId="42AB4ED5">
            <w:pPr>
              <w:kinsoku/>
              <w:topLinePunct/>
              <w:autoSpaceDE/>
              <w:autoSpaceDN/>
              <w:spacing w:line="500" w:lineRule="atLeast"/>
              <w:jc w:val="center"/>
              <w:rPr>
                <w:rFonts w:hint="eastAsia" w:ascii="宋体" w:hAnsi="宋体" w:eastAsia="宋体" w:cs="宋体"/>
                <w:b w:val="0"/>
                <w:bCs w:val="0"/>
                <w:color w:val="auto"/>
                <w:sz w:val="21"/>
                <w:szCs w:val="21"/>
              </w:rPr>
            </w:pPr>
            <w:r>
              <w:rPr>
                <w:rFonts w:hint="eastAsia" w:ascii="宋体" w:hAnsi="宋体" w:cs="仿宋"/>
                <w:b w:val="0"/>
                <w:bCs w:val="0"/>
                <w:color w:val="auto"/>
                <w:sz w:val="21"/>
                <w:szCs w:val="21"/>
                <w:lang w:eastAsia="zh-CN"/>
              </w:rPr>
              <w:t>符合性审查</w:t>
            </w:r>
          </w:p>
        </w:tc>
        <w:tc>
          <w:tcPr>
            <w:tcW w:w="8762" w:type="dxa"/>
            <w:tcBorders>
              <w:tl2br w:val="nil"/>
              <w:tr2bl w:val="nil"/>
            </w:tcBorders>
            <w:vAlign w:val="center"/>
          </w:tcPr>
          <w:p w14:paraId="40FC270F">
            <w:pPr>
              <w:kinsoku/>
              <w:topLinePunct/>
              <w:autoSpaceDE/>
              <w:autoSpaceDN/>
              <w:rPr>
                <w:b w:val="0"/>
                <w:bCs w:val="0"/>
                <w:color w:val="auto"/>
                <w:sz w:val="21"/>
                <w:szCs w:val="21"/>
                <w:lang w:eastAsia="zh-CN"/>
              </w:rPr>
            </w:pPr>
            <w:r>
              <w:rPr>
                <w:rFonts w:hint="eastAsia"/>
                <w:b w:val="0"/>
                <w:bCs w:val="0"/>
                <w:color w:val="auto"/>
                <w:sz w:val="21"/>
                <w:szCs w:val="21"/>
                <w:lang w:eastAsia="zh-CN"/>
              </w:rPr>
              <w:t>必须全部满足磋商文件“二、采购要求”内“商务条件”全部要求，任意一条不满足作无效投标处理。</w:t>
            </w:r>
          </w:p>
          <w:p w14:paraId="24733096">
            <w:pPr>
              <w:kinsoku/>
              <w:topLinePunct/>
              <w:autoSpaceDE/>
              <w:autoSpaceDN/>
              <w:rPr>
                <w:rFonts w:hint="eastAsia" w:ascii="宋体" w:hAnsi="宋体" w:eastAsia="宋体" w:cs="宋体"/>
                <w:b w:val="0"/>
                <w:bCs w:val="0"/>
                <w:color w:val="auto"/>
                <w:sz w:val="21"/>
                <w:szCs w:val="21"/>
                <w:lang w:eastAsia="zh-CN"/>
              </w:rPr>
            </w:pPr>
          </w:p>
        </w:tc>
      </w:tr>
      <w:tr w14:paraId="61E940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342" w:type="dxa"/>
            <w:vMerge w:val="restart"/>
            <w:tcBorders>
              <w:tl2br w:val="nil"/>
              <w:tr2bl w:val="nil"/>
            </w:tcBorders>
            <w:vAlign w:val="center"/>
          </w:tcPr>
          <w:p w14:paraId="289F03BC">
            <w:pPr>
              <w:kinsoku/>
              <w:topLinePunct/>
              <w:autoSpaceDE/>
              <w:autoSpaceDN/>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企业实力</w:t>
            </w:r>
          </w:p>
        </w:tc>
        <w:tc>
          <w:tcPr>
            <w:tcW w:w="8762" w:type="dxa"/>
            <w:tcBorders>
              <w:tl2br w:val="nil"/>
              <w:tr2bl w:val="nil"/>
            </w:tcBorders>
          </w:tcPr>
          <w:p w14:paraId="775EFBDD">
            <w:pPr>
              <w:kinsoku/>
              <w:topLinePunct/>
              <w:autoSpaceDE/>
              <w:autoSpaceDN/>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 xml:space="preserve">（一）具有CMA能力证书并在满足采购需求的检测标准前提下，其证书能力附表中若还包含以下范围： </w:t>
            </w:r>
          </w:p>
          <w:p w14:paraId="11F152CF">
            <w:pPr>
              <w:kinsoku/>
              <w:topLinePunct/>
              <w:autoSpaceDE/>
              <w:autoSpaceDN/>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（1）GB/T25000.23-2019《系统与软件工程系统与软件质量要求和评价(SQuaRE)第23部分：系统与软件产品质量测量》；</w:t>
            </w:r>
          </w:p>
          <w:p w14:paraId="72029D0C">
            <w:pPr>
              <w:kinsoku/>
              <w:topLinePunct/>
              <w:autoSpaceDE/>
              <w:autoSpaceDN/>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（2）GB/T15532-2008 《计算机软件测试规范》；</w:t>
            </w:r>
          </w:p>
          <w:p w14:paraId="694FCAFF">
            <w:pPr>
              <w:kinsoku/>
              <w:topLinePunct/>
              <w:autoSpaceDE/>
              <w:autoSpaceDN/>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（3）GB/T39788-2021《系统与软件工程性能测试方法》；</w:t>
            </w:r>
          </w:p>
          <w:p w14:paraId="352B795F">
            <w:pPr>
              <w:kinsoku/>
              <w:topLinePunct/>
              <w:autoSpaceDE/>
              <w:autoSpaceDN/>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（4）GB/T37096-2018《信息安全技术办公信息系统安全测试规范》；</w:t>
            </w:r>
          </w:p>
          <w:p w14:paraId="5FDBF818">
            <w:pPr>
              <w:kinsoku/>
              <w:topLinePunct/>
              <w:autoSpaceDE/>
              <w:autoSpaceDN/>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（5）GB/T21671-2018《基于以太网技术的局域网（LAN）系统验收测试方法》。</w:t>
            </w:r>
          </w:p>
          <w:p w14:paraId="13709AA4">
            <w:pPr>
              <w:kinsoku/>
              <w:topLinePunct/>
              <w:autoSpaceDE/>
              <w:autoSpaceDN/>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评审依据：投标文件中须提供CMA资质证书能力附表复印件并加盖公章。</w:t>
            </w:r>
          </w:p>
        </w:tc>
      </w:tr>
      <w:tr w14:paraId="440925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1342" w:type="dxa"/>
            <w:vMerge w:val="continue"/>
            <w:tcBorders>
              <w:tl2br w:val="nil"/>
              <w:tr2bl w:val="nil"/>
            </w:tcBorders>
            <w:vAlign w:val="center"/>
          </w:tcPr>
          <w:p w14:paraId="4C529358">
            <w:pPr>
              <w:kinsoku/>
              <w:topLinePunct/>
              <w:autoSpaceDE/>
              <w:autoSpaceDN/>
              <w:jc w:val="center"/>
              <w:rPr>
                <w:rFonts w:hint="eastAsia" w:ascii="宋体" w:hAnsi="宋体" w:eastAsia="宋体" w:cs="宋体"/>
                <w:b w:val="0"/>
                <w:bCs w:val="0"/>
                <w:color w:val="auto"/>
                <w:sz w:val="21"/>
                <w:szCs w:val="21"/>
              </w:rPr>
            </w:pPr>
          </w:p>
        </w:tc>
        <w:tc>
          <w:tcPr>
            <w:tcW w:w="8762" w:type="dxa"/>
            <w:tcBorders>
              <w:tl2br w:val="nil"/>
              <w:tr2bl w:val="nil"/>
            </w:tcBorders>
          </w:tcPr>
          <w:p w14:paraId="16EB645F">
            <w:pPr>
              <w:kinsoku/>
              <w:topLinePunct/>
              <w:autoSpaceDE/>
              <w:autoSpaceDN/>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（二）具有信息安全服务资质认证证书（CCRC）的。</w:t>
            </w:r>
          </w:p>
          <w:p w14:paraId="5AC1488D">
            <w:pPr>
              <w:kinsoku/>
              <w:topLinePunct/>
              <w:autoSpaceDE/>
              <w:autoSpaceDN/>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评审依据：提供信息安全服务资质认证证书（CCRC）扫描件或复印件，并加盖公章。</w:t>
            </w:r>
          </w:p>
        </w:tc>
      </w:tr>
      <w:tr w14:paraId="7C055C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342" w:type="dxa"/>
            <w:vMerge w:val="continue"/>
            <w:tcBorders>
              <w:tl2br w:val="nil"/>
              <w:tr2bl w:val="nil"/>
            </w:tcBorders>
            <w:vAlign w:val="center"/>
          </w:tcPr>
          <w:p w14:paraId="2E030971">
            <w:pPr>
              <w:kinsoku/>
              <w:topLinePunct/>
              <w:autoSpaceDE/>
              <w:autoSpaceDN/>
              <w:jc w:val="center"/>
              <w:rPr>
                <w:rFonts w:hint="eastAsia" w:ascii="宋体" w:hAnsi="宋体" w:eastAsia="宋体" w:cs="宋体"/>
                <w:b w:val="0"/>
                <w:bCs w:val="0"/>
                <w:color w:val="auto"/>
                <w:sz w:val="21"/>
                <w:szCs w:val="21"/>
              </w:rPr>
            </w:pPr>
          </w:p>
        </w:tc>
        <w:tc>
          <w:tcPr>
            <w:tcW w:w="8762" w:type="dxa"/>
            <w:tcBorders>
              <w:tl2br w:val="nil"/>
              <w:tr2bl w:val="nil"/>
            </w:tcBorders>
          </w:tcPr>
          <w:p w14:paraId="458E062C">
            <w:pPr>
              <w:kinsoku/>
              <w:topLinePunct/>
              <w:autoSpaceDE/>
              <w:autoSpaceDN/>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（三）具有中国合格评定国家认可委员会实验室认可证书（CNAS）。</w:t>
            </w:r>
          </w:p>
          <w:p w14:paraId="45662E27">
            <w:pPr>
              <w:kinsoku/>
              <w:topLinePunct/>
              <w:autoSpaceDE/>
              <w:autoSpaceDN/>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评审依据：提供国家认可委员会实验室认可证书（CNAS）扫描件或复印件，并加盖公章。</w:t>
            </w:r>
          </w:p>
        </w:tc>
      </w:tr>
      <w:tr w14:paraId="30A8FB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342" w:type="dxa"/>
            <w:tcBorders>
              <w:tl2br w:val="nil"/>
              <w:tr2bl w:val="nil"/>
            </w:tcBorders>
            <w:vAlign w:val="center"/>
          </w:tcPr>
          <w:p w14:paraId="74B37A92">
            <w:pPr>
              <w:kinsoku/>
              <w:topLinePunct/>
              <w:autoSpaceDE/>
              <w:autoSpaceDN/>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类似业绩</w:t>
            </w:r>
          </w:p>
        </w:tc>
        <w:tc>
          <w:tcPr>
            <w:tcW w:w="8762" w:type="dxa"/>
            <w:tcBorders>
              <w:tl2br w:val="nil"/>
              <w:tr2bl w:val="nil"/>
            </w:tcBorders>
          </w:tcPr>
          <w:p w14:paraId="247229A7">
            <w:pPr>
              <w:kinsoku/>
              <w:topLinePunct/>
              <w:autoSpaceDE/>
              <w:autoSpaceDN/>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自2022年1月1日（以合同签订时间为准）以来具有软件测试项目案例。</w:t>
            </w:r>
          </w:p>
          <w:p w14:paraId="11637C6C">
            <w:pPr>
              <w:kinsoku/>
              <w:topLinePunct/>
              <w:autoSpaceDE/>
              <w:autoSpaceDN/>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评审依据：提供合同扫描件或复印件，并加盖公章。</w:t>
            </w:r>
          </w:p>
        </w:tc>
      </w:tr>
    </w:tbl>
    <w:p w14:paraId="5DCEB749">
      <w:pPr>
        <w:kinsoku/>
        <w:topLinePunct/>
        <w:autoSpaceDE/>
        <w:autoSpaceDN/>
        <w:rPr>
          <w:rFonts w:hint="eastAsia" w:ascii="宋体" w:hAnsi="宋体" w:eastAsia="宋体" w:cs="宋体"/>
          <w:b w:val="0"/>
          <w:bCs w:val="0"/>
          <w:color w:val="auto"/>
          <w:sz w:val="21"/>
          <w:szCs w:val="21"/>
        </w:rPr>
      </w:pPr>
    </w:p>
    <w:p w14:paraId="5E5A50BF">
      <w:pPr>
        <w:pStyle w:val="16"/>
        <w:kinsoku/>
        <w:topLinePunct/>
        <w:autoSpaceDE/>
        <w:autoSpaceDN/>
        <w:ind w:firstLine="300"/>
        <w:rPr>
          <w:rFonts w:hint="eastAsia"/>
          <w:b w:val="0"/>
          <w:bCs w:val="0"/>
          <w:color w:val="auto"/>
          <w:sz w:val="21"/>
          <w:szCs w:val="21"/>
          <w:lang w:eastAsia="zh-CN"/>
        </w:rPr>
      </w:pPr>
    </w:p>
    <w:p w14:paraId="11365BAC">
      <w:pPr>
        <w:kinsoku/>
        <w:topLinePunct/>
        <w:autoSpaceDE/>
        <w:autoSpaceDN/>
        <w:rPr>
          <w:rFonts w:hint="eastAsia"/>
          <w:b w:val="0"/>
          <w:bCs w:val="0"/>
          <w:color w:val="auto"/>
          <w:sz w:val="21"/>
          <w:szCs w:val="21"/>
          <w:lang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8A2DA">
    <w:pPr>
      <w:pStyle w:val="12"/>
      <w:rPr>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49102">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A6B08">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CCDA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CF7D3">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45899">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AB1E67"/>
    <w:multiLevelType w:val="multilevel"/>
    <w:tmpl w:val="26AB1E67"/>
    <w:lvl w:ilvl="0" w:tentative="0">
      <w:start w:val="1"/>
      <w:numFmt w:val="chineseCountingThousand"/>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5D2"/>
    <w:rsid w:val="001C60AD"/>
    <w:rsid w:val="003022C0"/>
    <w:rsid w:val="00316D4A"/>
    <w:rsid w:val="003F6CE6"/>
    <w:rsid w:val="00451A86"/>
    <w:rsid w:val="00632D90"/>
    <w:rsid w:val="006609F7"/>
    <w:rsid w:val="00901615"/>
    <w:rsid w:val="009A0ADD"/>
    <w:rsid w:val="009B24C7"/>
    <w:rsid w:val="00A71452"/>
    <w:rsid w:val="00B745D2"/>
    <w:rsid w:val="00EC311D"/>
    <w:rsid w:val="00F42D81"/>
    <w:rsid w:val="020F790B"/>
    <w:rsid w:val="02C170CB"/>
    <w:rsid w:val="048900BC"/>
    <w:rsid w:val="06180AA3"/>
    <w:rsid w:val="091268D2"/>
    <w:rsid w:val="0CC41520"/>
    <w:rsid w:val="0E476939"/>
    <w:rsid w:val="0F9E1CC2"/>
    <w:rsid w:val="120B3EBE"/>
    <w:rsid w:val="13533D6F"/>
    <w:rsid w:val="1988673C"/>
    <w:rsid w:val="19901047"/>
    <w:rsid w:val="1CB11B06"/>
    <w:rsid w:val="212C5BFF"/>
    <w:rsid w:val="22317971"/>
    <w:rsid w:val="23904F0C"/>
    <w:rsid w:val="30102A86"/>
    <w:rsid w:val="32FD564D"/>
    <w:rsid w:val="33907941"/>
    <w:rsid w:val="33C90024"/>
    <w:rsid w:val="3A414072"/>
    <w:rsid w:val="41AA4BF2"/>
    <w:rsid w:val="42EB54C2"/>
    <w:rsid w:val="4EF676C9"/>
    <w:rsid w:val="532A3783"/>
    <w:rsid w:val="538452A3"/>
    <w:rsid w:val="57C32112"/>
    <w:rsid w:val="5B643820"/>
    <w:rsid w:val="5D101956"/>
    <w:rsid w:val="62A90370"/>
    <w:rsid w:val="62CF5694"/>
    <w:rsid w:val="652C514E"/>
    <w:rsid w:val="677B277B"/>
    <w:rsid w:val="68E00F62"/>
    <w:rsid w:val="6B8005EE"/>
    <w:rsid w:val="6BC07C08"/>
    <w:rsid w:val="6DD32AC9"/>
    <w:rsid w:val="71D376CA"/>
    <w:rsid w:val="74DF6386"/>
    <w:rsid w:val="75DC0B17"/>
    <w:rsid w:val="793A7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after="0" w:line="240" w:lineRule="auto"/>
      <w:textAlignment w:val="baseline"/>
    </w:pPr>
    <w:rPr>
      <w:rFonts w:ascii="Arial" w:hAnsi="Arial" w:eastAsia="Arial" w:cs="Arial"/>
      <w:snapToGrid w:val="0"/>
      <w:color w:val="000000"/>
      <w:kern w:val="0"/>
      <w:sz w:val="21"/>
      <w:szCs w:val="21"/>
      <w:lang w:val="en-US" w:eastAsia="en-US" w:bidi="ar-SA"/>
      <w14:ligatures w14:val="none"/>
    </w:rPr>
  </w:style>
  <w:style w:type="paragraph" w:styleId="3">
    <w:name w:val="heading 1"/>
    <w:basedOn w:val="1"/>
    <w:next w:val="1"/>
    <w:link w:val="19"/>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4">
    <w:name w:val="heading 2"/>
    <w:basedOn w:val="1"/>
    <w:next w:val="1"/>
    <w:link w:val="20"/>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5">
    <w:name w:val="heading 3"/>
    <w:basedOn w:val="1"/>
    <w:next w:val="1"/>
    <w:link w:val="21"/>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2">
    <w:name w:val="heading 4"/>
    <w:basedOn w:val="1"/>
    <w:next w:val="1"/>
    <w:link w:val="22"/>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3"/>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4"/>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5"/>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7"/>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Body Text"/>
    <w:basedOn w:val="1"/>
    <w:link w:val="41"/>
    <w:semiHidden/>
    <w:unhideWhenUsed/>
    <w:qFormat/>
    <w:uiPriority w:val="99"/>
    <w:pPr>
      <w:spacing w:after="120"/>
    </w:pPr>
  </w:style>
  <w:style w:type="paragraph" w:styleId="12">
    <w:name w:val="footer"/>
    <w:basedOn w:val="1"/>
    <w:link w:val="38"/>
    <w:unhideWhenUsed/>
    <w:qFormat/>
    <w:uiPriority w:val="0"/>
    <w:pPr>
      <w:tabs>
        <w:tab w:val="center" w:pos="4153"/>
        <w:tab w:val="right" w:pos="8306"/>
      </w:tabs>
    </w:pPr>
    <w:rPr>
      <w:sz w:val="18"/>
      <w:szCs w:val="18"/>
    </w:rPr>
  </w:style>
  <w:style w:type="paragraph" w:styleId="13">
    <w:name w:val="header"/>
    <w:basedOn w:val="1"/>
    <w:link w:val="37"/>
    <w:unhideWhenUsed/>
    <w:qFormat/>
    <w:uiPriority w:val="99"/>
    <w:pPr>
      <w:tabs>
        <w:tab w:val="center" w:pos="4153"/>
        <w:tab w:val="right" w:pos="8306"/>
      </w:tabs>
      <w:jc w:val="center"/>
    </w:pPr>
    <w:rPr>
      <w:sz w:val="18"/>
      <w:szCs w:val="18"/>
    </w:rPr>
  </w:style>
  <w:style w:type="paragraph" w:styleId="14">
    <w:name w:val="Subtitle"/>
    <w:basedOn w:val="1"/>
    <w:next w:val="1"/>
    <w:link w:val="29"/>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8"/>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16">
    <w:name w:val="Body Text First Indent"/>
    <w:basedOn w:val="11"/>
    <w:link w:val="42"/>
    <w:qFormat/>
    <w:uiPriority w:val="0"/>
    <w:pPr>
      <w:spacing w:after="0"/>
      <w:ind w:firstLine="420" w:firstLineChars="100"/>
    </w:pPr>
    <w:rPr>
      <w:rFonts w:ascii="仿宋" w:hAnsi="仿宋" w:eastAsia="仿宋" w:cs="仿宋"/>
      <w:sz w:val="30"/>
      <w:szCs w:val="30"/>
    </w:rPr>
  </w:style>
  <w:style w:type="character" w:customStyle="1" w:styleId="19">
    <w:name w:val="标题 1 字符"/>
    <w:basedOn w:val="18"/>
    <w:link w:val="3"/>
    <w:qFormat/>
    <w:uiPriority w:val="9"/>
    <w:rPr>
      <w:rFonts w:asciiTheme="majorHAnsi" w:hAnsiTheme="majorHAnsi" w:eastAsiaTheme="majorEastAsia" w:cstheme="majorBidi"/>
      <w:color w:val="2F5597" w:themeColor="accent1" w:themeShade="BF"/>
      <w:sz w:val="48"/>
      <w:szCs w:val="48"/>
    </w:rPr>
  </w:style>
  <w:style w:type="character" w:customStyle="1" w:styleId="20">
    <w:name w:val="标题 2 字符"/>
    <w:basedOn w:val="18"/>
    <w:link w:val="4"/>
    <w:qFormat/>
    <w:uiPriority w:val="9"/>
    <w:rPr>
      <w:rFonts w:asciiTheme="majorHAnsi" w:hAnsiTheme="majorHAnsi" w:eastAsiaTheme="majorEastAsia" w:cstheme="majorBidi"/>
      <w:color w:val="2F5597" w:themeColor="accent1" w:themeShade="BF"/>
      <w:sz w:val="40"/>
      <w:szCs w:val="40"/>
    </w:rPr>
  </w:style>
  <w:style w:type="character" w:customStyle="1" w:styleId="21">
    <w:name w:val="标题 3 字符"/>
    <w:basedOn w:val="18"/>
    <w:link w:val="5"/>
    <w:semiHidden/>
    <w:qFormat/>
    <w:uiPriority w:val="9"/>
    <w:rPr>
      <w:rFonts w:asciiTheme="majorHAnsi" w:hAnsiTheme="majorHAnsi" w:eastAsiaTheme="majorEastAsia" w:cstheme="majorBidi"/>
      <w:color w:val="2F5597" w:themeColor="accent1" w:themeShade="BF"/>
      <w:sz w:val="32"/>
      <w:szCs w:val="32"/>
    </w:rPr>
  </w:style>
  <w:style w:type="character" w:customStyle="1" w:styleId="22">
    <w:name w:val="标题 4 字符"/>
    <w:basedOn w:val="18"/>
    <w:link w:val="2"/>
    <w:semiHidden/>
    <w:qFormat/>
    <w:uiPriority w:val="9"/>
    <w:rPr>
      <w:rFonts w:cstheme="majorBidi"/>
      <w:color w:val="2F5597" w:themeColor="accent1" w:themeShade="BF"/>
      <w:sz w:val="28"/>
      <w:szCs w:val="28"/>
    </w:rPr>
  </w:style>
  <w:style w:type="character" w:customStyle="1" w:styleId="23">
    <w:name w:val="标题 5 字符"/>
    <w:basedOn w:val="18"/>
    <w:link w:val="6"/>
    <w:semiHidden/>
    <w:qFormat/>
    <w:uiPriority w:val="9"/>
    <w:rPr>
      <w:rFonts w:cstheme="majorBidi"/>
      <w:color w:val="2F5597" w:themeColor="accent1" w:themeShade="BF"/>
      <w:sz w:val="24"/>
    </w:rPr>
  </w:style>
  <w:style w:type="character" w:customStyle="1" w:styleId="24">
    <w:name w:val="标题 6 字符"/>
    <w:basedOn w:val="18"/>
    <w:link w:val="7"/>
    <w:semiHidden/>
    <w:qFormat/>
    <w:uiPriority w:val="9"/>
    <w:rPr>
      <w:rFonts w:cstheme="majorBidi"/>
      <w:b/>
      <w:bCs/>
      <w:color w:val="2F5597" w:themeColor="accent1" w:themeShade="BF"/>
    </w:rPr>
  </w:style>
  <w:style w:type="character" w:customStyle="1" w:styleId="25">
    <w:name w:val="标题 7 字符"/>
    <w:basedOn w:val="18"/>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6">
    <w:name w:val="标题 8 字符"/>
    <w:basedOn w:val="18"/>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7">
    <w:name w:val="标题 9 字符"/>
    <w:basedOn w:val="18"/>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标题 字符"/>
    <w:basedOn w:val="18"/>
    <w:link w:val="15"/>
    <w:qFormat/>
    <w:uiPriority w:val="10"/>
    <w:rPr>
      <w:rFonts w:asciiTheme="majorHAnsi" w:hAnsiTheme="majorHAnsi" w:eastAsiaTheme="majorEastAsia" w:cstheme="majorBidi"/>
      <w:spacing w:val="-10"/>
      <w:kern w:val="28"/>
      <w:sz w:val="56"/>
      <w:szCs w:val="56"/>
    </w:rPr>
  </w:style>
  <w:style w:type="character" w:customStyle="1" w:styleId="29">
    <w:name w:val="副标题 字符"/>
    <w:basedOn w:val="18"/>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引用 字符"/>
    <w:basedOn w:val="18"/>
    <w:link w:val="30"/>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Intense Emphasis"/>
    <w:basedOn w:val="18"/>
    <w:qFormat/>
    <w:uiPriority w:val="21"/>
    <w:rPr>
      <w:i/>
      <w:iCs/>
      <w:color w:val="2F5597" w:themeColor="accent1" w:themeShade="BF"/>
    </w:rPr>
  </w:style>
  <w:style w:type="paragraph" w:styleId="34">
    <w:name w:val="Intense Quote"/>
    <w:basedOn w:val="1"/>
    <w:next w:val="1"/>
    <w:link w:val="35"/>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5">
    <w:name w:val="明显引用 字符"/>
    <w:basedOn w:val="18"/>
    <w:link w:val="34"/>
    <w:qFormat/>
    <w:uiPriority w:val="30"/>
    <w:rPr>
      <w:i/>
      <w:iCs/>
      <w:color w:val="2F5597" w:themeColor="accent1" w:themeShade="BF"/>
    </w:rPr>
  </w:style>
  <w:style w:type="character" w:customStyle="1" w:styleId="36">
    <w:name w:val="Intense Reference"/>
    <w:basedOn w:val="18"/>
    <w:qFormat/>
    <w:uiPriority w:val="32"/>
    <w:rPr>
      <w:b/>
      <w:bCs/>
      <w:smallCaps/>
      <w:color w:val="2F5597" w:themeColor="accent1" w:themeShade="BF"/>
      <w:spacing w:val="5"/>
    </w:rPr>
  </w:style>
  <w:style w:type="character" w:customStyle="1" w:styleId="37">
    <w:name w:val="页眉 字符"/>
    <w:basedOn w:val="18"/>
    <w:link w:val="13"/>
    <w:qFormat/>
    <w:uiPriority w:val="99"/>
    <w:rPr>
      <w:sz w:val="18"/>
      <w:szCs w:val="18"/>
    </w:rPr>
  </w:style>
  <w:style w:type="character" w:customStyle="1" w:styleId="38">
    <w:name w:val="页脚 字符"/>
    <w:basedOn w:val="18"/>
    <w:link w:val="12"/>
    <w:qFormat/>
    <w:uiPriority w:val="99"/>
    <w:rPr>
      <w:sz w:val="18"/>
      <w:szCs w:val="18"/>
    </w:rPr>
  </w:style>
  <w:style w:type="table" w:customStyle="1" w:styleId="39">
    <w:name w:val="Table Normal"/>
    <w:semiHidden/>
    <w:unhideWhenUsed/>
    <w:qFormat/>
    <w:uiPriority w:val="0"/>
    <w:pPr>
      <w:spacing w:after="0" w:line="240" w:lineRule="auto"/>
    </w:pPr>
    <w:rPr>
      <w:rFonts w:ascii="Times New Roman" w:hAnsi="Times New Roman" w:eastAsia="宋体" w:cs="Times New Roman"/>
      <w:kern w:val="0"/>
      <w:sz w:val="20"/>
      <w:szCs w:val="20"/>
      <w14:ligatures w14:val="none"/>
    </w:rPr>
    <w:tblPr>
      <w:tblCellMar>
        <w:top w:w="0" w:type="dxa"/>
        <w:left w:w="0" w:type="dxa"/>
        <w:bottom w:w="0" w:type="dxa"/>
        <w:right w:w="0" w:type="dxa"/>
      </w:tblCellMar>
    </w:tblPr>
  </w:style>
  <w:style w:type="paragraph" w:customStyle="1" w:styleId="40">
    <w:name w:val="Table Text"/>
    <w:basedOn w:val="1"/>
    <w:semiHidden/>
    <w:qFormat/>
    <w:uiPriority w:val="0"/>
  </w:style>
  <w:style w:type="character" w:customStyle="1" w:styleId="41">
    <w:name w:val="正文文本 字符"/>
    <w:basedOn w:val="18"/>
    <w:link w:val="11"/>
    <w:semiHidden/>
    <w:qFormat/>
    <w:uiPriority w:val="99"/>
    <w:rPr>
      <w:rFonts w:ascii="Arial" w:hAnsi="Arial" w:eastAsia="Arial" w:cs="Arial"/>
      <w:snapToGrid w:val="0"/>
      <w:color w:val="000000"/>
      <w:kern w:val="0"/>
      <w:sz w:val="21"/>
      <w:szCs w:val="21"/>
      <w:lang w:eastAsia="en-US"/>
      <w14:ligatures w14:val="none"/>
    </w:rPr>
  </w:style>
  <w:style w:type="character" w:customStyle="1" w:styleId="42">
    <w:name w:val="正文文本首行缩进 字符"/>
    <w:basedOn w:val="41"/>
    <w:link w:val="16"/>
    <w:qFormat/>
    <w:uiPriority w:val="0"/>
    <w:rPr>
      <w:rFonts w:ascii="仿宋" w:hAnsi="仿宋" w:eastAsia="仿宋" w:cs="仿宋"/>
      <w:snapToGrid w:val="0"/>
      <w:color w:val="000000"/>
      <w:kern w:val="0"/>
      <w:sz w:val="30"/>
      <w:szCs w:val="30"/>
      <w:lang w:eastAsia="en-US"/>
      <w14:ligatures w14: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2814</Words>
  <Characters>2955</Characters>
  <Lines>168</Lines>
  <Paragraphs>153</Paragraphs>
  <TotalTime>25</TotalTime>
  <ScaleCrop>false</ScaleCrop>
  <LinksUpToDate>false</LinksUpToDate>
  <CharactersWithSpaces>2966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2025-07-15T03:22:00Z</dcterms:created>
  <dc:creator>只 只</dc:creator>
  <cp:lastModifiedBy>一</cp:lastModifiedBy>
  <dcterms:modified xsi:type="dcterms:W3CDTF">2025-07-17T07:58:18Z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eyJoZGlkIjoiZmNmMmM4NWVjMzA5NWEzYjk2YjY4YjRlNjhjZTUyYWUiLCJ1c2VySWQiOiI3MzA3MzUzMjIifQ==</vt:lpwstr>
  </property>
  <property fmtid="{D5CDD505-2E9C-101B-9397-08002B2CF9AE}" pid="3" name="KSOProductBuildVer">
    <vt:lpwstr>2052-12.1.0.21541</vt:lpwstr>
  </property>
  <property fmtid="{D5CDD505-2E9C-101B-9397-08002B2CF9AE}" pid="4" name="ICV">
    <vt:lpwstr>E9C588DF8EE2450085EC6718C612C433_12</vt:lpwstr>
  </property>
</Properties>
</file>