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DFB96">
      <w:pPr>
        <w:kinsoku/>
        <w:topLinePunct/>
        <w:autoSpaceDE/>
        <w:autoSpaceDN/>
        <w:spacing w:line="480" w:lineRule="auto"/>
        <w:jc w:val="center"/>
        <w:rPr>
          <w:rFonts w:hint="eastAsia"/>
          <w:b w:val="0"/>
          <w:bCs w:val="0"/>
          <w:color w:val="auto"/>
          <w:sz w:val="21"/>
          <w:szCs w:val="21"/>
        </w:rPr>
      </w:pPr>
      <w:bookmarkStart w:id="0" w:name="bookmark81"/>
      <w:bookmarkEnd w:id="0"/>
      <w:bookmarkStart w:id="1" w:name="_Toc5326"/>
      <w:r>
        <w:rPr>
          <w:rFonts w:hint="eastAsia" w:ascii="宋体" w:hAnsi="宋体" w:eastAsia="宋体" w:cs="宋体"/>
          <w:b w:val="0"/>
          <w:bCs w:val="0"/>
          <w:color w:val="auto"/>
          <w:sz w:val="21"/>
          <w:szCs w:val="21"/>
          <w:lang w:eastAsia="zh-CN"/>
        </w:rPr>
        <w:t>一、</w:t>
      </w:r>
      <w:r>
        <w:rPr>
          <w:rFonts w:hint="eastAsia" w:ascii="宋体" w:hAnsi="宋体" w:eastAsia="宋体" w:cs="宋体"/>
          <w:b w:val="0"/>
          <w:bCs w:val="0"/>
          <w:color w:val="auto"/>
          <w:sz w:val="21"/>
          <w:szCs w:val="21"/>
        </w:rPr>
        <w:t>采购需求表</w:t>
      </w:r>
    </w:p>
    <w:tbl>
      <w:tblPr>
        <w:tblStyle w:val="39"/>
        <w:tblW w:w="874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6757"/>
      </w:tblGrid>
      <w:tr w14:paraId="490F87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82" w:hRule="atLeast"/>
          <w:jc w:val="center"/>
        </w:trPr>
        <w:tc>
          <w:tcPr>
            <w:tcW w:w="1984" w:type="dxa"/>
            <w:tcBorders>
              <w:top w:val="single" w:color="000000" w:sz="8" w:space="0"/>
              <w:left w:val="single" w:color="000000" w:sz="8" w:space="0"/>
              <w:bottom w:val="single" w:color="000000" w:sz="8" w:space="0"/>
              <w:right w:val="single" w:color="000000" w:sz="8" w:space="0"/>
              <w:tl2br w:val="single" w:color="000000" w:sz="8" w:space="0"/>
              <w:tr2bl w:val="nil"/>
            </w:tcBorders>
          </w:tcPr>
          <w:p w14:paraId="54C9AA4B">
            <w:pPr>
              <w:widowControl w:val="0"/>
              <w:kinsoku/>
              <w:topLinePunct/>
              <w:autoSpaceDE/>
              <w:autoSpaceDN/>
              <w:spacing w:before="78" w:line="221" w:lineRule="auto"/>
              <w:ind w:firstLine="210" w:firstLineChars="100"/>
              <w:rPr>
                <w:rFonts w:ascii="宋体" w:hAnsi="宋体" w:eastAsia="宋体" w:cs="宋体"/>
                <w:b w:val="0"/>
                <w:bCs w:val="0"/>
                <w:color w:val="auto"/>
                <w:sz w:val="21"/>
                <w:szCs w:val="21"/>
                <w:lang w:eastAsia="zh-CN"/>
              </w:rPr>
            </w:pPr>
          </w:p>
          <w:p w14:paraId="5796E260">
            <w:pPr>
              <w:widowControl w:val="0"/>
              <w:kinsoku/>
              <w:topLinePunct/>
              <w:autoSpaceDE/>
              <w:autoSpaceDN/>
              <w:spacing w:before="78" w:line="221" w:lineRule="auto"/>
              <w:ind w:firstLine="210" w:firstLineChars="1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内容    </w:t>
            </w:r>
            <w:r>
              <w:rPr>
                <w:rFonts w:ascii="宋体" w:hAnsi="宋体" w:eastAsia="宋体" w:cs="宋体"/>
                <w:b w:val="0"/>
                <w:bCs w:val="0"/>
                <w:color w:val="auto"/>
                <w:sz w:val="21"/>
                <w:szCs w:val="21"/>
              </w:rPr>
              <w:t>名</w:t>
            </w:r>
            <w:r>
              <w:rPr>
                <w:rFonts w:hint="eastAsia" w:ascii="宋体" w:hAnsi="宋体" w:eastAsia="宋体" w:cs="宋体"/>
                <w:b w:val="0"/>
                <w:bCs w:val="0"/>
                <w:color w:val="auto"/>
                <w:sz w:val="21"/>
                <w:szCs w:val="21"/>
                <w:lang w:eastAsia="zh-CN"/>
              </w:rPr>
              <w:t>称</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527762A0">
            <w:pPr>
              <w:pStyle w:val="40"/>
              <w:widowControl w:val="0"/>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上饶市人民医院医院信息系统</w:t>
            </w:r>
            <w:r>
              <w:rPr>
                <w:rFonts w:hint="eastAsia" w:ascii="宋体" w:hAnsi="宋体" w:eastAsia="宋体" w:cs="宋体"/>
                <w:b w:val="0"/>
                <w:bCs w:val="0"/>
                <w:color w:val="auto"/>
                <w:sz w:val="21"/>
                <w:szCs w:val="21"/>
                <w:lang w:eastAsia="zh-CN"/>
              </w:rPr>
              <w:t>第三方检测服务</w:t>
            </w:r>
          </w:p>
        </w:tc>
      </w:tr>
      <w:tr w14:paraId="6FEB7E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984" w:type="dxa"/>
            <w:tcBorders>
              <w:top w:val="single" w:color="000000" w:sz="8" w:space="0"/>
              <w:left w:val="single" w:color="000000" w:sz="8" w:space="0"/>
              <w:bottom w:val="single" w:color="000000" w:sz="8" w:space="0"/>
              <w:right w:val="single" w:color="000000" w:sz="8" w:space="0"/>
              <w:tl2br w:val="nil"/>
              <w:tr2bl w:val="nil"/>
            </w:tcBorders>
            <w:vAlign w:val="center"/>
          </w:tcPr>
          <w:p w14:paraId="73D1822C">
            <w:pPr>
              <w:widowControl w:val="0"/>
              <w:kinsoku/>
              <w:topLinePunct/>
              <w:autoSpaceDE/>
              <w:autoSpaceDN/>
              <w:jc w:val="center"/>
              <w:rPr>
                <w:rFonts w:hint="eastAsia" w:ascii="宋体" w:hAnsi="宋体" w:eastAsia="宋体" w:cs="宋体"/>
                <w:b w:val="0"/>
                <w:bCs w:val="0"/>
                <w:color w:val="auto"/>
                <w:sz w:val="21"/>
                <w:szCs w:val="21"/>
              </w:rPr>
            </w:pPr>
            <w:r>
              <w:rPr>
                <w:rFonts w:ascii="宋体" w:hAnsi="宋体" w:eastAsia="宋体" w:cs="宋体"/>
                <w:b w:val="0"/>
                <w:bCs w:val="0"/>
                <w:color w:val="auto"/>
                <w:sz w:val="21"/>
                <w:szCs w:val="21"/>
              </w:rPr>
              <w:t>数量</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477BB56A">
            <w:pPr>
              <w:pStyle w:val="40"/>
              <w:widowControl w:val="0"/>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1项</w:t>
            </w:r>
          </w:p>
        </w:tc>
      </w:tr>
      <w:tr w14:paraId="3E0B3A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984" w:type="dxa"/>
            <w:tcBorders>
              <w:top w:val="single" w:color="000000" w:sz="8" w:space="0"/>
              <w:left w:val="single" w:color="000000" w:sz="8" w:space="0"/>
              <w:bottom w:val="single" w:color="000000" w:sz="8" w:space="0"/>
              <w:right w:val="single" w:color="000000" w:sz="8" w:space="0"/>
              <w:tl2br w:val="nil"/>
              <w:tr2bl w:val="nil"/>
            </w:tcBorders>
            <w:vAlign w:val="center"/>
          </w:tcPr>
          <w:p w14:paraId="386E0E6B">
            <w:pPr>
              <w:widowControl w:val="0"/>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服务</w:t>
            </w:r>
            <w:r>
              <w:rPr>
                <w:rFonts w:ascii="宋体" w:hAnsi="宋体" w:eastAsia="宋体" w:cs="宋体"/>
                <w:b w:val="0"/>
                <w:bCs w:val="0"/>
                <w:color w:val="auto"/>
                <w:sz w:val="21"/>
                <w:szCs w:val="21"/>
              </w:rPr>
              <w:t>期</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712BF2B7">
            <w:pPr>
              <w:pStyle w:val="40"/>
              <w:widowControl w:val="0"/>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90天</w:t>
            </w:r>
          </w:p>
        </w:tc>
      </w:tr>
      <w:tr w14:paraId="02551B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984" w:type="dxa"/>
            <w:tcBorders>
              <w:top w:val="single" w:color="000000" w:sz="8" w:space="0"/>
              <w:left w:val="single" w:color="000000" w:sz="8" w:space="0"/>
              <w:bottom w:val="single" w:color="000000" w:sz="8" w:space="0"/>
              <w:right w:val="single" w:color="000000" w:sz="8" w:space="0"/>
              <w:tl2br w:val="nil"/>
              <w:tr2bl w:val="nil"/>
            </w:tcBorders>
            <w:vAlign w:val="center"/>
          </w:tcPr>
          <w:p w14:paraId="4FC21AAB">
            <w:pPr>
              <w:widowControl w:val="0"/>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服务</w:t>
            </w:r>
            <w:r>
              <w:rPr>
                <w:rFonts w:ascii="宋体" w:hAnsi="宋体" w:eastAsia="宋体" w:cs="宋体"/>
                <w:b w:val="0"/>
                <w:bCs w:val="0"/>
                <w:color w:val="auto"/>
                <w:sz w:val="21"/>
                <w:szCs w:val="21"/>
              </w:rPr>
              <w:t>地点</w:t>
            </w:r>
          </w:p>
        </w:tc>
        <w:tc>
          <w:tcPr>
            <w:tcW w:w="6757" w:type="dxa"/>
            <w:tcBorders>
              <w:top w:val="single" w:color="000000" w:sz="8" w:space="0"/>
              <w:left w:val="single" w:color="000000" w:sz="8" w:space="0"/>
              <w:bottom w:val="single" w:color="000000" w:sz="8" w:space="0"/>
              <w:right w:val="single" w:color="000000" w:sz="8" w:space="0"/>
              <w:tl2br w:val="nil"/>
              <w:tr2bl w:val="nil"/>
            </w:tcBorders>
            <w:vAlign w:val="center"/>
          </w:tcPr>
          <w:p w14:paraId="6485F6AC">
            <w:pPr>
              <w:pStyle w:val="40"/>
              <w:widowControl w:val="0"/>
              <w:kinsoku/>
              <w:topLinePunct/>
              <w:autoSpaceDE/>
              <w:autoSpaceDN/>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上饶市人民医院</w:t>
            </w:r>
          </w:p>
        </w:tc>
      </w:tr>
    </w:tbl>
    <w:p w14:paraId="1265E7AB">
      <w:pPr>
        <w:kinsoku/>
        <w:topLinePunct/>
        <w:autoSpaceDE/>
        <w:autoSpaceDN/>
        <w:rPr>
          <w:b w:val="0"/>
          <w:bCs w:val="0"/>
          <w:color w:val="auto"/>
          <w:sz w:val="21"/>
          <w:szCs w:val="21"/>
          <w:highlight w:val="lightGray"/>
          <w:lang w:eastAsia="zh-CN"/>
        </w:rPr>
      </w:pPr>
    </w:p>
    <w:p w14:paraId="253FFBAD">
      <w:pPr>
        <w:kinsoku/>
        <w:autoSpaceDE/>
        <w:autoSpaceDN/>
        <w:adjustRightInd/>
        <w:snapToGrid/>
        <w:spacing w:after="160" w:line="278" w:lineRule="auto"/>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br w:type="page"/>
      </w:r>
    </w:p>
    <w:p w14:paraId="65A776F7">
      <w:pPr>
        <w:kinsoku/>
        <w:topLinePunct/>
        <w:autoSpaceDE/>
        <w:autoSpaceDN/>
        <w:spacing w:line="360" w:lineRule="auto"/>
        <w:jc w:val="center"/>
        <w:rPr>
          <w:rFonts w:hint="eastAsia" w:ascii="宋体" w:hAnsi="宋体" w:eastAsia="宋体"/>
          <w:b w:val="0"/>
          <w:bCs w:val="0"/>
          <w:color w:val="auto"/>
          <w:sz w:val="21"/>
          <w:szCs w:val="21"/>
        </w:rPr>
      </w:pP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采购要求</w:t>
      </w:r>
      <w:bookmarkEnd w:id="1"/>
    </w:p>
    <w:p w14:paraId="1A2FFDB6">
      <w:pPr>
        <w:pStyle w:val="32"/>
        <w:numPr>
          <w:ilvl w:val="0"/>
          <w:numId w:val="1"/>
        </w:numPr>
        <w:kinsoku/>
        <w:topLinePunct/>
        <w:autoSpaceDE/>
        <w:autoSpaceDN/>
        <w:spacing w:line="360" w:lineRule="auto"/>
        <w:jc w:val="center"/>
        <w:rPr>
          <w:rFonts w:hint="eastAsia" w:ascii="宋体" w:hAnsi="宋体" w:eastAsia="宋体"/>
          <w:b w:val="0"/>
          <w:bCs w:val="0"/>
          <w:color w:val="auto"/>
          <w:sz w:val="21"/>
          <w:szCs w:val="21"/>
        </w:rPr>
      </w:pPr>
      <w:bookmarkStart w:id="2" w:name="_Toc25526"/>
      <w:r>
        <w:rPr>
          <w:rFonts w:hint="eastAsia" w:ascii="宋体" w:hAnsi="宋体" w:eastAsia="宋体" w:cs="宋体"/>
          <w:b w:val="0"/>
          <w:bCs w:val="0"/>
          <w:color w:val="auto"/>
          <w:sz w:val="21"/>
          <w:szCs w:val="21"/>
        </w:rPr>
        <w:t>技术要求</w:t>
      </w:r>
    </w:p>
    <w:bookmarkEnd w:id="2"/>
    <w:p w14:paraId="3E24F673">
      <w:pPr>
        <w:kinsoku/>
        <w:topLinePunct/>
        <w:autoSpaceDE/>
        <w:autoSpaceDN/>
        <w:spacing w:line="360" w:lineRule="auto"/>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1、项目概况</w:t>
      </w:r>
    </w:p>
    <w:p w14:paraId="2B0F709F">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本次检测范围包含：根据国家规范要求，对其所建设的</w:t>
      </w:r>
      <w:r>
        <w:rPr>
          <w:rFonts w:hint="eastAsia" w:ascii="宋体" w:hAnsi="宋体" w:eastAsia="宋体" w:cs="宋体"/>
          <w:b w:val="0"/>
          <w:bCs w:val="0"/>
          <w:color w:val="auto"/>
          <w:sz w:val="21"/>
          <w:szCs w:val="21"/>
          <w:lang w:val="en-US" w:eastAsia="zh-CN"/>
        </w:rPr>
        <w:t>上饶市人民医院城北院区信息系统采购项目</w:t>
      </w:r>
      <w:r>
        <w:rPr>
          <w:rFonts w:hint="eastAsia" w:ascii="宋体" w:hAnsi="宋体" w:eastAsia="宋体" w:cs="宋体"/>
          <w:b w:val="0"/>
          <w:bCs w:val="0"/>
          <w:color w:val="auto"/>
          <w:sz w:val="21"/>
          <w:szCs w:val="21"/>
          <w:lang w:eastAsia="zh-CN"/>
        </w:rPr>
        <w:t>进行第三方软件测评。本次软件测评主要对其软件功能性、性能效率、信息安全性、可靠性、易用性等指标进行第三方软件测评，并出具检测报告。</w:t>
      </w:r>
    </w:p>
    <w:p w14:paraId="0A604B3F">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2、检测标准</w:t>
      </w:r>
    </w:p>
    <w:p w14:paraId="2B336E4E">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（1）GB/T 25000.51-2016《系统与软件工程 系统与软件质量要求和评价（SQuaRE）》第51部分：就绪可用软件产品（RUSP）的质量要求和测试细则；</w:t>
      </w:r>
    </w:p>
    <w:p w14:paraId="6F1B6593">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（2）《计算机软件测试规范》GB/T 15532-2008</w:t>
      </w:r>
    </w:p>
    <w:p w14:paraId="09149DEF">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3、测试依据</w:t>
      </w:r>
    </w:p>
    <w:p w14:paraId="76FB9218">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（1）《系统软件用户手册》</w:t>
      </w:r>
    </w:p>
    <w:p w14:paraId="2C208C5F">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（2）《系统软件需求规格说明书》</w:t>
      </w:r>
    </w:p>
    <w:p w14:paraId="77B5D07B">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（3）《系统软件详细设计文档》</w:t>
      </w:r>
    </w:p>
    <w:p w14:paraId="150BF2D3">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（4）《项目施工合同文件》</w:t>
      </w:r>
    </w:p>
    <w:p w14:paraId="066F511D">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（5）《项目施工招投标文件》等</w:t>
      </w:r>
    </w:p>
    <w:p w14:paraId="77876B72">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4、测试原则</w:t>
      </w:r>
    </w:p>
    <w:p w14:paraId="2131F12C">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客观性和公正性原则：虽然评估工作不能完全摆脱个人主张或判断，但评估人员应当没有偏见，在最小主观判断情形下，按照评估双方相互认可的评估方案，基于明确定义的评估方式和解释，实施评估活动。</w:t>
      </w:r>
    </w:p>
    <w:p w14:paraId="13FDE919">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可再现性原则：不论谁执行评估，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0EE41BD5">
      <w:pPr>
        <w:kinsoku/>
        <w:topLinePunct/>
        <w:autoSpaceDE/>
        <w:autoSpaceDN/>
        <w:spacing w:line="500" w:lineRule="exact"/>
        <w:ind w:firstLine="420" w:firstLineChars="200"/>
        <w:contextualSpacing/>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（3）结果完善性原则：评估所产生的结果应当证明是良好的判断和对评估项的正确理解。评估过程和结果应当服从正确的评估方法以确保其满足了评估项的要求。</w:t>
      </w:r>
    </w:p>
    <w:p w14:paraId="600C733F">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5、测试对象</w:t>
      </w:r>
    </w:p>
    <w:p w14:paraId="58AE32EB">
      <w:pPr>
        <w:keepNext w:val="0"/>
        <w:keepLines w:val="0"/>
        <w:widowControl/>
        <w:suppressLineNumbers w:val="0"/>
        <w:ind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上饶市人民医院信息系统</w:t>
      </w:r>
    </w:p>
    <w:p w14:paraId="2DE444F4">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6、测试内容</w:t>
      </w:r>
    </w:p>
    <w:p w14:paraId="2936077A">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软件测试内容：包括软件功能性、可靠性、易用性、性能效率、信息安全性等质量特性。</w:t>
      </w:r>
    </w:p>
    <w:p w14:paraId="18C9AE10">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（1）功能性测试</w:t>
      </w:r>
    </w:p>
    <w:p w14:paraId="0C274E05">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软件产品满足</w:t>
      </w:r>
      <w:r>
        <w:rPr>
          <w:rFonts w:hint="eastAsia" w:ascii="宋体" w:hAnsi="宋体" w:eastAsia="宋体" w:cs="宋体"/>
          <w:b w:val="0"/>
          <w:bCs w:val="0"/>
          <w:color w:val="auto"/>
          <w:sz w:val="21"/>
          <w:szCs w:val="21"/>
          <w:lang w:val="en-US" w:eastAsia="zh-CN"/>
        </w:rPr>
        <w:t>双方合同</w:t>
      </w:r>
      <w:r>
        <w:rPr>
          <w:rFonts w:hint="eastAsia" w:ascii="宋体" w:hAnsi="宋体" w:eastAsia="宋体" w:cs="宋体"/>
          <w:b w:val="0"/>
          <w:bCs w:val="0"/>
          <w:color w:val="auto"/>
          <w:sz w:val="21"/>
          <w:szCs w:val="21"/>
          <w:lang w:eastAsia="zh-CN"/>
        </w:rPr>
        <w:t>明确和隐含要求功能的能力。具体内容包括：完备性、正确性、恰当性、互操作性、安全保密性等。</w:t>
      </w:r>
    </w:p>
    <w:p w14:paraId="5AE8BDC0">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（2）可靠性测试</w:t>
      </w:r>
    </w:p>
    <w:p w14:paraId="2DC467D6">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软件产品维持规定的可靠性级别的能力。按照软件运行剖面对软件进行随机测试的测试方法。具体内容包括：成熟性、容错性、易恢复性等。</w:t>
      </w:r>
    </w:p>
    <w:p w14:paraId="62D04499">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（3）易用性测试</w:t>
      </w:r>
    </w:p>
    <w:p w14:paraId="6AE482D6">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被理解、学习、使用和吸引用户的能力。关注软件使用时是否感觉方便，能否通过简单的操作达到用户的目的，界面是否美观，排版是否合理等。具体内容包括：易理解性、易学性、易操作性、吸引性等。</w:t>
      </w:r>
    </w:p>
    <w:p w14:paraId="5B7C431A">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（4）效率性能测试</w:t>
      </w:r>
    </w:p>
    <w:p w14:paraId="492723EC">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软件产品所提供性能的能力。关注在多用户、大并发量的情况下系统是否满足客户的实际需要，主要从吞吐量、点击率、平均事物响应时间、负载下的平均事物响应时间等来进行测试。具体内容包括：时间特性、资源利用率、容量等。</w:t>
      </w:r>
    </w:p>
    <w:p w14:paraId="7D99E8A7">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（5）信息安全性测试</w:t>
      </w:r>
    </w:p>
    <w:p w14:paraId="147F394B">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对系统的保密性、完整性、抗抵赖性、可核查性、真实性方面进行测试，验证系统的数据是否只有授权才可访问，验证系统是否可以防止数据被篡改，功能操作是否可以核查追溯等。</w:t>
      </w:r>
    </w:p>
    <w:p w14:paraId="6FC5B800">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7、组织协调 </w:t>
      </w:r>
    </w:p>
    <w:p w14:paraId="0F30DC54">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一般情况下，应组织召开有关第三方测试的专题会议，制订会议计划并起草会议纪要。当项目需要或采购方要求时，</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应参加例会，以解决各类日常协调问题。</w:t>
      </w:r>
    </w:p>
    <w:p w14:paraId="60812D99">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8、提交的成果 </w:t>
      </w:r>
    </w:p>
    <w:p w14:paraId="56BF316E">
      <w:pPr>
        <w:kinsoku/>
        <w:topLinePunct/>
        <w:autoSpaceDE/>
        <w:autoSpaceDN/>
        <w:spacing w:line="500" w:lineRule="exact"/>
        <w:ind w:firstLine="420" w:firstLineChars="200"/>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（1）检测报告，</w:t>
      </w:r>
      <w:r>
        <w:rPr>
          <w:rFonts w:hint="eastAsia" w:ascii="宋体" w:hAnsi="宋体" w:eastAsia="宋体" w:cs="宋体"/>
          <w:b w:val="0"/>
          <w:bCs w:val="0"/>
          <w:color w:val="auto"/>
          <w:sz w:val="21"/>
          <w:szCs w:val="21"/>
          <w:lang w:val="en-US" w:eastAsia="zh-CN"/>
        </w:rPr>
        <w:t>须针对所有检查项目给出明确结论。</w:t>
      </w:r>
    </w:p>
    <w:p w14:paraId="7FD8238C">
      <w:pPr>
        <w:kinsoku/>
        <w:topLinePunct/>
        <w:autoSpaceDE/>
        <w:autoSpaceDN/>
        <w:spacing w:line="50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（2）检测方案</w:t>
      </w:r>
    </w:p>
    <w:p w14:paraId="3BEE288D">
      <w:pPr>
        <w:kinsoku/>
        <w:topLinePunct/>
        <w:autoSpaceDE/>
        <w:autoSpaceDN/>
        <w:adjustRightInd/>
        <w:snapToGrid/>
        <w:spacing w:after="160" w:line="278" w:lineRule="auto"/>
        <w:textAlignment w:val="auto"/>
        <w:rPr>
          <w:b w:val="0"/>
          <w:bCs w:val="0"/>
          <w:color w:val="auto"/>
          <w:sz w:val="21"/>
          <w:szCs w:val="21"/>
        </w:rPr>
      </w:pPr>
      <w:r>
        <w:rPr>
          <w:b w:val="0"/>
          <w:bCs w:val="0"/>
          <w:color w:val="auto"/>
          <w:sz w:val="21"/>
          <w:szCs w:val="21"/>
        </w:rPr>
        <w:br w:type="page"/>
      </w:r>
    </w:p>
    <w:p w14:paraId="3A9688C2">
      <w:pPr>
        <w:pStyle w:val="32"/>
        <w:numPr>
          <w:ilvl w:val="0"/>
          <w:numId w:val="1"/>
        </w:numPr>
        <w:kinsoku/>
        <w:topLinePunct/>
        <w:autoSpaceDE/>
        <w:autoSpaceDN/>
        <w:spacing w:line="360" w:lineRule="auto"/>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商务条件</w:t>
      </w:r>
    </w:p>
    <w:p w14:paraId="3C0944A8">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1、服务地点：采购人指定地点。</w:t>
      </w:r>
    </w:p>
    <w:p w14:paraId="4A9BB420">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pacing w:val="-4"/>
          <w:sz w:val="21"/>
          <w:szCs w:val="21"/>
          <w:lang w:eastAsia="zh-CN"/>
        </w:rPr>
      </w:pPr>
      <w:r>
        <w:rPr>
          <w:rFonts w:hint="eastAsia" w:ascii="宋体" w:hAnsi="宋体" w:eastAsia="宋体" w:cs="宋体"/>
          <w:b w:val="0"/>
          <w:bCs w:val="0"/>
          <w:color w:val="auto"/>
          <w:sz w:val="21"/>
          <w:szCs w:val="21"/>
          <w:lang w:eastAsia="zh-CN"/>
        </w:rPr>
        <w:t>2、服务时间：</w:t>
      </w:r>
      <w:r>
        <w:rPr>
          <w:rFonts w:hint="eastAsia" w:ascii="宋体" w:hAnsi="宋体" w:eastAsia="宋体" w:cs="宋体"/>
          <w:b w:val="0"/>
          <w:bCs w:val="0"/>
          <w:color w:val="auto"/>
          <w:spacing w:val="-4"/>
          <w:sz w:val="21"/>
          <w:szCs w:val="21"/>
          <w:lang w:eastAsia="zh-CN"/>
        </w:rPr>
        <w:t>90天。</w:t>
      </w:r>
    </w:p>
    <w:p w14:paraId="525A1A52">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3、验收：完成本项目的软件验收测试，并提供检测报告。</w:t>
      </w:r>
    </w:p>
    <w:p w14:paraId="65B0AECD">
      <w:pPr>
        <w:widowControl w:val="0"/>
        <w:kinsoku/>
        <w:topLinePunct/>
        <w:autoSpaceDE/>
        <w:autoSpaceDN/>
        <w:adjustRightInd/>
        <w:snapToGrid/>
        <w:spacing w:line="50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5、付款方式：合同签订后，成交</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安排检测，在测试完成后提交纸质检测报告，采购人支付检测费用。</w:t>
      </w:r>
    </w:p>
    <w:p w14:paraId="304FA0E1">
      <w:pPr>
        <w:pStyle w:val="2"/>
        <w:rPr>
          <w:rFonts w:hint="default"/>
          <w:color w:val="auto"/>
          <w:lang w:val="en-US" w:eastAsia="zh-CN"/>
        </w:rPr>
      </w:pPr>
      <w:r>
        <w:rPr>
          <w:rFonts w:hint="eastAsia" w:ascii="宋体" w:hAnsi="宋体" w:eastAsia="宋体" w:cs="宋体"/>
          <w:b w:val="0"/>
          <w:bCs w:val="0"/>
          <w:color w:val="auto"/>
          <w:sz w:val="21"/>
          <w:szCs w:val="21"/>
          <w:lang w:val="en-US" w:eastAsia="zh-CN"/>
        </w:rPr>
        <w:t>预算：15万元。</w:t>
      </w:r>
    </w:p>
    <w:p w14:paraId="365A3BE4">
      <w:pPr>
        <w:kinsoku/>
        <w:topLinePunct/>
        <w:autoSpaceDE/>
        <w:autoSpaceDN/>
        <w:adjustRightInd/>
        <w:snapToGrid/>
        <w:spacing w:after="160" w:line="278" w:lineRule="auto"/>
        <w:textAlignment w:val="auto"/>
        <w:rPr>
          <w:b w:val="0"/>
          <w:bCs w:val="0"/>
          <w:color w:val="auto"/>
          <w:sz w:val="21"/>
          <w:szCs w:val="21"/>
          <w:lang w:eastAsia="zh-CN"/>
        </w:rPr>
      </w:pPr>
      <w:r>
        <w:rPr>
          <w:b w:val="0"/>
          <w:bCs w:val="0"/>
          <w:color w:val="auto"/>
          <w:sz w:val="21"/>
          <w:szCs w:val="21"/>
          <w:lang w:eastAsia="zh-CN"/>
        </w:rPr>
        <w:br w:type="page"/>
      </w:r>
    </w:p>
    <w:p w14:paraId="708FA734">
      <w:pPr>
        <w:kinsoku/>
        <w:topLinePunct/>
        <w:autoSpaceDE/>
        <w:autoSpaceDN/>
        <w:spacing w:line="500" w:lineRule="exact"/>
        <w:ind w:firstLine="420" w:firstLineChars="200"/>
        <w:jc w:val="center"/>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评审标准</w:t>
      </w:r>
    </w:p>
    <w:p w14:paraId="55347C15">
      <w:pPr>
        <w:kinsoku/>
        <w:topLinePunct/>
        <w:autoSpaceDE/>
        <w:autoSpaceDN/>
        <w:spacing w:line="500" w:lineRule="exact"/>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按照磋商文件中规定的评审方法和标准，磋商小组采用综合评分法对符合性审查合格且提交了最后报价的</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的投标文件和最后报价进行综合评分。</w:t>
      </w:r>
    </w:p>
    <w:p w14:paraId="18C84EB6">
      <w:pPr>
        <w:kinsoku/>
        <w:topLinePunct/>
        <w:autoSpaceDE/>
        <w:autoSpaceDN/>
        <w:spacing w:before="312" w:beforeLines="100" w:after="312" w:afterLines="100"/>
        <w:ind w:firstLine="210" w:firstLineChars="100"/>
        <w:outlineLvl w:val="1"/>
        <w:rPr>
          <w:rFonts w:hint="eastAsia" w:ascii="宋体" w:hAnsi="宋体" w:eastAsia="宋体" w:cs="宋体"/>
          <w:b w:val="0"/>
          <w:bCs w:val="0"/>
          <w:color w:val="auto"/>
          <w:sz w:val="21"/>
          <w:szCs w:val="21"/>
          <w:lang w:eastAsia="zh-CN"/>
        </w:rPr>
      </w:pPr>
      <w:bookmarkStart w:id="3" w:name="_Toc13351"/>
      <w:r>
        <w:rPr>
          <w:rFonts w:hint="eastAsia" w:ascii="宋体" w:hAnsi="宋体" w:eastAsia="宋体" w:cs="宋体"/>
          <w:b w:val="0"/>
          <w:bCs w:val="0"/>
          <w:color w:val="auto"/>
          <w:sz w:val="21"/>
          <w:szCs w:val="21"/>
          <w:lang w:eastAsia="zh-CN"/>
        </w:rPr>
        <w:t>技术评审</w:t>
      </w:r>
      <w:bookmarkEnd w:id="3"/>
    </w:p>
    <w:tbl>
      <w:tblPr>
        <w:tblStyle w:val="17"/>
        <w:tblW w:w="1005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648"/>
      </w:tblGrid>
      <w:tr w14:paraId="36DEA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3" w:type="dxa"/>
            <w:tcBorders>
              <w:tl2br w:val="nil"/>
              <w:tr2bl w:val="nil"/>
            </w:tcBorders>
            <w:vAlign w:val="center"/>
          </w:tcPr>
          <w:p w14:paraId="5780568F">
            <w:pPr>
              <w:kinsoku/>
              <w:topLinePunct/>
              <w:autoSpaceDE/>
              <w:autoSpaceDN/>
              <w:jc w:val="center"/>
              <w:rPr>
                <w:rFonts w:hint="eastAsia" w:ascii="宋体" w:hAnsi="宋体" w:eastAsia="宋体" w:cs="宋体"/>
                <w:b w:val="0"/>
                <w:bCs w:val="0"/>
                <w:color w:val="auto"/>
                <w:sz w:val="21"/>
                <w:szCs w:val="21"/>
              </w:rPr>
            </w:pPr>
          </w:p>
        </w:tc>
        <w:tc>
          <w:tcPr>
            <w:tcW w:w="8648" w:type="dxa"/>
            <w:tcBorders>
              <w:tl2br w:val="nil"/>
              <w:tr2bl w:val="nil"/>
            </w:tcBorders>
            <w:vAlign w:val="center"/>
          </w:tcPr>
          <w:p w14:paraId="2E52BB0D">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评审内容</w:t>
            </w:r>
          </w:p>
        </w:tc>
      </w:tr>
      <w:tr w14:paraId="15FA1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403" w:type="dxa"/>
            <w:tcBorders>
              <w:tl2br w:val="nil"/>
              <w:tr2bl w:val="nil"/>
            </w:tcBorders>
            <w:vAlign w:val="center"/>
          </w:tcPr>
          <w:p w14:paraId="178F6EDA">
            <w:pPr>
              <w:kinsoku/>
              <w:topLinePunct/>
              <w:autoSpaceDE/>
              <w:autoSpaceDN/>
              <w:spacing w:line="500" w:lineRule="atLeast"/>
              <w:jc w:val="center"/>
              <w:rPr>
                <w:rFonts w:hint="eastAsia" w:ascii="宋体" w:hAnsi="宋体" w:eastAsia="宋体" w:cs="宋体"/>
                <w:b w:val="0"/>
                <w:bCs w:val="0"/>
                <w:color w:val="auto"/>
                <w:kern w:val="2"/>
                <w:sz w:val="21"/>
                <w:szCs w:val="21"/>
                <w:lang w:eastAsia="zh-CN"/>
              </w:rPr>
            </w:pPr>
            <w:r>
              <w:rPr>
                <w:rFonts w:hint="eastAsia" w:ascii="宋体" w:hAnsi="宋体" w:cs="仿宋"/>
                <w:b w:val="0"/>
                <w:bCs w:val="0"/>
                <w:color w:val="auto"/>
                <w:sz w:val="21"/>
                <w:szCs w:val="21"/>
                <w:lang w:eastAsia="zh-CN"/>
              </w:rPr>
              <w:t>符合性审查</w:t>
            </w:r>
          </w:p>
        </w:tc>
        <w:tc>
          <w:tcPr>
            <w:tcW w:w="8648" w:type="dxa"/>
            <w:tcBorders>
              <w:tl2br w:val="nil"/>
              <w:tr2bl w:val="nil"/>
            </w:tcBorders>
            <w:vAlign w:val="center"/>
          </w:tcPr>
          <w:p w14:paraId="749C66CD">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必须全部满足磋商文件“二、采购要求”内“技术要求”中全部要求，任意一条不满足作无效投标处理。</w:t>
            </w:r>
          </w:p>
          <w:p w14:paraId="2F20BCDC">
            <w:pPr>
              <w:kinsoku/>
              <w:topLinePunct/>
              <w:autoSpaceDE/>
              <w:autoSpaceDN/>
              <w:rPr>
                <w:rFonts w:eastAsia="黑体"/>
                <w:b w:val="0"/>
                <w:bCs w:val="0"/>
                <w:color w:val="auto"/>
                <w:kern w:val="2"/>
                <w:sz w:val="21"/>
                <w:szCs w:val="21"/>
                <w:lang w:eastAsia="zh-CN"/>
              </w:rPr>
            </w:pPr>
          </w:p>
        </w:tc>
      </w:tr>
      <w:tr w14:paraId="54FE5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403" w:type="dxa"/>
            <w:tcBorders>
              <w:tl2br w:val="nil"/>
              <w:tr2bl w:val="nil"/>
            </w:tcBorders>
            <w:vAlign w:val="center"/>
          </w:tcPr>
          <w:p w14:paraId="37491408">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整体实施技术方案</w:t>
            </w:r>
          </w:p>
        </w:tc>
        <w:tc>
          <w:tcPr>
            <w:tcW w:w="8648" w:type="dxa"/>
            <w:tcBorders>
              <w:tl2br w:val="nil"/>
              <w:tr2bl w:val="nil"/>
            </w:tcBorders>
          </w:tcPr>
          <w:p w14:paraId="64322EE1">
            <w:pPr>
              <w:widowControl w:val="0"/>
              <w:kinsoku/>
              <w:topLinePunct/>
              <w:autoSpaceDE/>
              <w:autoSpaceDN/>
              <w:adjustRightInd/>
              <w:snapToGrid/>
              <w:jc w:val="left"/>
              <w:textAlignment w:val="auto"/>
              <w:rPr>
                <w:rFonts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针对本项目提供整体实施技术方案，内容包括但不限于：</w:t>
            </w:r>
          </w:p>
          <w:p w14:paraId="3A5B2099">
            <w:pPr>
              <w:kinsoku/>
              <w:topLinePunct/>
              <w:autoSpaceDE/>
              <w:autoSpaceDN/>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①制定项目进度安排、②应急处理措施、③风险管理措施、④质量管理措施等</w:t>
            </w:r>
            <w:bookmarkStart w:id="4" w:name="_Toc19620"/>
            <w:bookmarkStart w:id="5" w:name="_Toc32198"/>
            <w:r>
              <w:rPr>
                <w:rFonts w:hint="eastAsia" w:ascii="宋体" w:hAnsi="宋体" w:eastAsia="宋体" w:cs="宋体"/>
                <w:b w:val="0"/>
                <w:bCs w:val="0"/>
                <w:color w:val="auto"/>
                <w:sz w:val="21"/>
                <w:szCs w:val="21"/>
                <w:lang w:eastAsia="zh-CN"/>
              </w:rPr>
              <w:t>。（投标文件中须提供方案并加盖公章。</w:t>
            </w:r>
            <w:bookmarkEnd w:id="4"/>
            <w:bookmarkEnd w:id="5"/>
            <w:r>
              <w:rPr>
                <w:rFonts w:hint="eastAsia" w:ascii="宋体" w:hAnsi="宋体" w:eastAsia="宋体" w:cs="宋体"/>
                <w:b w:val="0"/>
                <w:bCs w:val="0"/>
                <w:color w:val="auto"/>
                <w:sz w:val="21"/>
                <w:szCs w:val="21"/>
                <w:lang w:eastAsia="zh-CN"/>
              </w:rPr>
              <w:t>）</w:t>
            </w:r>
          </w:p>
        </w:tc>
      </w:tr>
      <w:tr w14:paraId="01FB4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tcBorders>
              <w:tl2br w:val="nil"/>
              <w:tr2bl w:val="nil"/>
            </w:tcBorders>
            <w:vAlign w:val="center"/>
          </w:tcPr>
          <w:p w14:paraId="3D489DA0">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总测评师</w:t>
            </w:r>
          </w:p>
          <w:p w14:paraId="25D3D1A7">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能力</w:t>
            </w:r>
          </w:p>
        </w:tc>
        <w:tc>
          <w:tcPr>
            <w:tcW w:w="8648" w:type="dxa"/>
            <w:tcBorders>
              <w:tl2br w:val="nil"/>
              <w:tr2bl w:val="nil"/>
            </w:tcBorders>
          </w:tcPr>
          <w:p w14:paraId="4A1EB4EE">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拟派本项目总测评师</w:t>
            </w:r>
            <w:r>
              <w:rPr>
                <w:rFonts w:hint="eastAsia" w:ascii="宋体" w:hAnsi="宋体" w:eastAsia="宋体" w:cs="宋体"/>
                <w:b w:val="0"/>
                <w:bCs w:val="0"/>
                <w:color w:val="auto"/>
                <w:sz w:val="21"/>
                <w:szCs w:val="21"/>
                <w:lang w:val="en-US" w:eastAsia="zh-CN"/>
              </w:rPr>
              <w:t>须</w:t>
            </w:r>
            <w:r>
              <w:rPr>
                <w:rFonts w:hint="eastAsia" w:ascii="宋体" w:hAnsi="宋体" w:eastAsia="宋体" w:cs="宋体"/>
                <w:b w:val="0"/>
                <w:bCs w:val="0"/>
                <w:color w:val="auto"/>
                <w:sz w:val="21"/>
                <w:szCs w:val="21"/>
                <w:lang w:eastAsia="zh-CN"/>
              </w:rPr>
              <w:t>具有以下证书或资格：</w:t>
            </w:r>
          </w:p>
          <w:p w14:paraId="170FF052">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（1）高级信息系统项目管理师（职称管理部门颁发）；</w:t>
            </w:r>
          </w:p>
          <w:p w14:paraId="598335CE">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（2）软件性能测试高级工程师证书（软考或中国软件评测中心工业和信息化部软件与集成电路促进中心颁发）；</w:t>
            </w:r>
          </w:p>
          <w:p w14:paraId="19B40CA2">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（3）软件质量检验师（工业和信息化部教育与考试中心颁发）</w:t>
            </w:r>
          </w:p>
          <w:p w14:paraId="2B5572CD">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（4）具有质量技术监督部门授予的CMA证书授权签字资格。</w:t>
            </w:r>
          </w:p>
          <w:p w14:paraId="56CC984A">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评审依据：提供相关证书复印件或扫描件，并加盖公章以及在磋商前近6个月（不含当月）中任意1个月依法为其缴纳社会保险的证明材料复印件加盖公章。</w:t>
            </w:r>
          </w:p>
        </w:tc>
      </w:tr>
      <w:tr w14:paraId="44A56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3" w:type="dxa"/>
            <w:tcBorders>
              <w:tl2br w:val="nil"/>
              <w:tr2bl w:val="nil"/>
            </w:tcBorders>
            <w:vAlign w:val="center"/>
          </w:tcPr>
          <w:p w14:paraId="1FA5E138">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团队人员</w:t>
            </w:r>
          </w:p>
          <w:p w14:paraId="39BDF125">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能力</w:t>
            </w:r>
          </w:p>
        </w:tc>
        <w:tc>
          <w:tcPr>
            <w:tcW w:w="8648" w:type="dxa"/>
            <w:tcBorders>
              <w:tl2br w:val="nil"/>
              <w:tr2bl w:val="nil"/>
            </w:tcBorders>
          </w:tcPr>
          <w:p w14:paraId="46D8F414">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除总评测工程师外，派驻的专业测评工程师团队中</w:t>
            </w:r>
            <w:r>
              <w:rPr>
                <w:rFonts w:hint="eastAsia" w:ascii="宋体" w:hAnsi="宋体" w:eastAsia="宋体" w:cs="宋体"/>
                <w:b w:val="0"/>
                <w:bCs w:val="0"/>
                <w:color w:val="auto"/>
                <w:sz w:val="21"/>
                <w:szCs w:val="21"/>
                <w:lang w:val="en-US" w:eastAsia="zh-CN"/>
              </w:rPr>
              <w:t>须</w:t>
            </w:r>
            <w:r>
              <w:rPr>
                <w:rFonts w:hint="eastAsia" w:ascii="宋体" w:hAnsi="宋体" w:eastAsia="宋体" w:cs="宋体"/>
                <w:b w:val="0"/>
                <w:bCs w:val="0"/>
                <w:color w:val="auto"/>
                <w:sz w:val="21"/>
                <w:szCs w:val="21"/>
                <w:lang w:eastAsia="zh-CN"/>
              </w:rPr>
              <w:t>具有：</w:t>
            </w:r>
          </w:p>
          <w:p w14:paraId="0C1882BA">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（1）高级信息安全管理工程师（软考或工业和信息化部教育与考试中心颁发）；</w:t>
            </w:r>
          </w:p>
          <w:p w14:paraId="235BDCC8">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（2）软件评测师（软考或中国软件测评中心工业和信息化部软件与集成电路促进中心颁发）；</w:t>
            </w:r>
          </w:p>
          <w:p w14:paraId="1631BBE0">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（3）注册信息安全工程师CISP（中国信息安全测评中心颁发）；</w:t>
            </w:r>
          </w:p>
          <w:p w14:paraId="0D014457">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（4）软件代码审计师（工业和信息化部电子工业标准化研究院颁发）。</w:t>
            </w:r>
          </w:p>
          <w:p w14:paraId="51F87B77">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评审依据：提供团队人员名单、相关证书复印件或扫描件，并加盖公章以及在磋商前近6个月（不含磋商当月）中任意1个月依法为相关人员缴纳社会保险的证明材料复印件加盖公章。</w:t>
            </w:r>
          </w:p>
        </w:tc>
      </w:tr>
      <w:tr w14:paraId="373FC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403" w:type="dxa"/>
            <w:tcBorders>
              <w:tl2br w:val="nil"/>
              <w:tr2bl w:val="nil"/>
            </w:tcBorders>
            <w:vAlign w:val="center"/>
          </w:tcPr>
          <w:p w14:paraId="199A8D3F">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专业测试及管理工具</w:t>
            </w:r>
          </w:p>
        </w:tc>
        <w:tc>
          <w:tcPr>
            <w:tcW w:w="8648" w:type="dxa"/>
            <w:tcBorders>
              <w:tl2br w:val="nil"/>
              <w:tr2bl w:val="nil"/>
            </w:tcBorders>
          </w:tcPr>
          <w:p w14:paraId="59295A84">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为保证项目顺利实施，</w:t>
            </w:r>
            <w:r>
              <w:rPr>
                <w:rFonts w:hint="eastAsia" w:ascii="宋体" w:hAnsi="宋体" w:eastAsia="宋体" w:cs="宋体"/>
                <w:b w:val="0"/>
                <w:bCs w:val="0"/>
                <w:color w:val="auto"/>
                <w:sz w:val="21"/>
                <w:szCs w:val="21"/>
                <w:lang w:val="en-US" w:eastAsia="zh-CN"/>
              </w:rPr>
              <w:t>投标方需</w:t>
            </w:r>
            <w:r>
              <w:rPr>
                <w:rFonts w:hint="eastAsia" w:ascii="宋体" w:hAnsi="宋体" w:eastAsia="宋体" w:cs="宋体"/>
                <w:b w:val="0"/>
                <w:bCs w:val="0"/>
                <w:color w:val="auto"/>
                <w:sz w:val="21"/>
                <w:szCs w:val="21"/>
                <w:lang w:eastAsia="zh-CN"/>
              </w:rPr>
              <w:t>具有自主研发或购买信息系统测评有关的检测平台或工具，若具有：①信息系统的功能检测相关软件；②网络信息安全检测相关系统；③网络性能测试的多任务调度相关系统；④检测实验数据智能管理相关系统；⑤检测数据综合分析相关平台的。</w:t>
            </w:r>
          </w:p>
          <w:p w14:paraId="7C2BCC0B">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评审依据：投标文件中须提供：①所有相应模块的《计算机软件著作权登记证书》复印件加盖公章；②</w:t>
            </w:r>
            <w:r>
              <w:rPr>
                <w:rFonts w:hint="eastAsia" w:ascii="宋体" w:hAnsi="宋体" w:eastAsia="宋体" w:cs="宋体"/>
                <w:b w:val="0"/>
                <w:bCs w:val="0"/>
                <w:color w:val="auto"/>
                <w:sz w:val="21"/>
                <w:szCs w:val="21"/>
                <w:lang w:val="en-US" w:eastAsia="zh-CN"/>
              </w:rPr>
              <w:t>投标方</w:t>
            </w:r>
            <w:r>
              <w:rPr>
                <w:rFonts w:hint="eastAsia" w:ascii="宋体" w:hAnsi="宋体" w:eastAsia="宋体" w:cs="宋体"/>
                <w:b w:val="0"/>
                <w:bCs w:val="0"/>
                <w:color w:val="auto"/>
                <w:sz w:val="21"/>
                <w:szCs w:val="21"/>
                <w:lang w:eastAsia="zh-CN"/>
              </w:rPr>
              <w:t>出具的该软件为本项目服务的承诺函（格式自拟）复印件加盖公章。</w:t>
            </w:r>
          </w:p>
        </w:tc>
      </w:tr>
    </w:tbl>
    <w:p w14:paraId="25E9FAC1">
      <w:pPr>
        <w:kinsoku/>
        <w:topLinePunct/>
        <w:autoSpaceDE/>
        <w:autoSpaceDN/>
        <w:spacing w:before="312" w:beforeLines="100" w:after="312" w:afterLines="100"/>
        <w:outlineLvl w:val="1"/>
        <w:rPr>
          <w:rFonts w:hint="eastAsia" w:ascii="宋体" w:hAnsi="宋体" w:eastAsia="宋体" w:cs="宋体"/>
          <w:b w:val="0"/>
          <w:bCs w:val="0"/>
          <w:color w:val="auto"/>
          <w:sz w:val="21"/>
          <w:szCs w:val="21"/>
          <w:lang w:eastAsia="zh-CN"/>
        </w:rPr>
      </w:pPr>
      <w:bookmarkStart w:id="6" w:name="_Toc30559"/>
      <w:r>
        <w:rPr>
          <w:rFonts w:hint="eastAsia" w:ascii="宋体" w:hAnsi="宋体" w:eastAsia="宋体" w:cs="宋体"/>
          <w:b w:val="0"/>
          <w:bCs w:val="0"/>
          <w:color w:val="auto"/>
          <w:sz w:val="21"/>
          <w:szCs w:val="21"/>
          <w:lang w:eastAsia="zh-CN"/>
        </w:rPr>
        <w:t>（三）商务评审</w:t>
      </w:r>
      <w:bookmarkEnd w:id="6"/>
    </w:p>
    <w:tbl>
      <w:tblPr>
        <w:tblStyle w:val="17"/>
        <w:tblW w:w="10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762"/>
      </w:tblGrid>
      <w:tr w14:paraId="0FA18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2" w:type="dxa"/>
            <w:tcBorders>
              <w:tl2br w:val="nil"/>
              <w:tr2bl w:val="nil"/>
            </w:tcBorders>
            <w:vAlign w:val="center"/>
          </w:tcPr>
          <w:p w14:paraId="1C458167">
            <w:pPr>
              <w:kinsoku/>
              <w:topLinePunct/>
              <w:autoSpaceDE/>
              <w:autoSpaceDN/>
              <w:jc w:val="center"/>
              <w:rPr>
                <w:rFonts w:hint="eastAsia" w:ascii="宋体" w:hAnsi="宋体" w:eastAsia="宋体" w:cs="宋体"/>
                <w:b w:val="0"/>
                <w:bCs w:val="0"/>
                <w:color w:val="auto"/>
                <w:sz w:val="21"/>
                <w:szCs w:val="21"/>
              </w:rPr>
            </w:pPr>
          </w:p>
        </w:tc>
        <w:tc>
          <w:tcPr>
            <w:tcW w:w="8762" w:type="dxa"/>
            <w:tcBorders>
              <w:tl2br w:val="nil"/>
              <w:tr2bl w:val="nil"/>
            </w:tcBorders>
            <w:vAlign w:val="center"/>
          </w:tcPr>
          <w:p w14:paraId="63E97E5C">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评审内容</w:t>
            </w:r>
          </w:p>
        </w:tc>
      </w:tr>
      <w:tr w14:paraId="721B9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42" w:type="dxa"/>
            <w:tcBorders>
              <w:tl2br w:val="nil"/>
              <w:tr2bl w:val="nil"/>
            </w:tcBorders>
            <w:vAlign w:val="center"/>
          </w:tcPr>
          <w:p w14:paraId="42AB4ED5">
            <w:pPr>
              <w:kinsoku/>
              <w:topLinePunct/>
              <w:autoSpaceDE/>
              <w:autoSpaceDN/>
              <w:spacing w:line="500" w:lineRule="atLeast"/>
              <w:jc w:val="center"/>
              <w:rPr>
                <w:rFonts w:hint="eastAsia" w:ascii="宋体" w:hAnsi="宋体" w:eastAsia="宋体" w:cs="宋体"/>
                <w:b w:val="0"/>
                <w:bCs w:val="0"/>
                <w:color w:val="auto"/>
                <w:sz w:val="21"/>
                <w:szCs w:val="21"/>
              </w:rPr>
            </w:pPr>
            <w:r>
              <w:rPr>
                <w:rFonts w:hint="eastAsia" w:ascii="宋体" w:hAnsi="宋体" w:cs="仿宋"/>
                <w:b w:val="0"/>
                <w:bCs w:val="0"/>
                <w:color w:val="auto"/>
                <w:sz w:val="21"/>
                <w:szCs w:val="21"/>
                <w:lang w:eastAsia="zh-CN"/>
              </w:rPr>
              <w:t>符合性审查</w:t>
            </w:r>
          </w:p>
        </w:tc>
        <w:tc>
          <w:tcPr>
            <w:tcW w:w="8762" w:type="dxa"/>
            <w:tcBorders>
              <w:tl2br w:val="nil"/>
              <w:tr2bl w:val="nil"/>
            </w:tcBorders>
            <w:vAlign w:val="center"/>
          </w:tcPr>
          <w:p w14:paraId="40FC270F">
            <w:pPr>
              <w:kinsoku/>
              <w:topLinePunct/>
              <w:autoSpaceDE/>
              <w:autoSpaceDN/>
              <w:rPr>
                <w:b w:val="0"/>
                <w:bCs w:val="0"/>
                <w:color w:val="auto"/>
                <w:sz w:val="21"/>
                <w:szCs w:val="21"/>
                <w:lang w:eastAsia="zh-CN"/>
              </w:rPr>
            </w:pPr>
            <w:r>
              <w:rPr>
                <w:rFonts w:hint="eastAsia"/>
                <w:b w:val="0"/>
                <w:bCs w:val="0"/>
                <w:color w:val="auto"/>
                <w:sz w:val="21"/>
                <w:szCs w:val="21"/>
                <w:lang w:eastAsia="zh-CN"/>
              </w:rPr>
              <w:t>必须全部满足磋商文件“二、采购要求”内“商务条件”全部要求，任意一条不满足作无效投标处理。</w:t>
            </w:r>
          </w:p>
          <w:p w14:paraId="24733096">
            <w:pPr>
              <w:kinsoku/>
              <w:topLinePunct/>
              <w:autoSpaceDE/>
              <w:autoSpaceDN/>
              <w:rPr>
                <w:rFonts w:hint="eastAsia" w:ascii="宋体" w:hAnsi="宋体" w:eastAsia="宋体" w:cs="宋体"/>
                <w:b w:val="0"/>
                <w:bCs w:val="0"/>
                <w:color w:val="auto"/>
                <w:sz w:val="21"/>
                <w:szCs w:val="21"/>
                <w:lang w:eastAsia="zh-CN"/>
              </w:rPr>
            </w:pPr>
          </w:p>
        </w:tc>
      </w:tr>
      <w:tr w14:paraId="61E94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2" w:type="dxa"/>
            <w:vMerge w:val="restart"/>
            <w:tcBorders>
              <w:tl2br w:val="nil"/>
              <w:tr2bl w:val="nil"/>
            </w:tcBorders>
            <w:vAlign w:val="center"/>
          </w:tcPr>
          <w:p w14:paraId="289F03BC">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企业实力</w:t>
            </w:r>
          </w:p>
        </w:tc>
        <w:tc>
          <w:tcPr>
            <w:tcW w:w="8762" w:type="dxa"/>
            <w:tcBorders>
              <w:tl2br w:val="nil"/>
              <w:tr2bl w:val="nil"/>
            </w:tcBorders>
          </w:tcPr>
          <w:p w14:paraId="775EFBDD">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 xml:space="preserve">（一）具有CMA能力证书并在满足采购需求的检测标准前提下，其证书能力附表中若还包含以下范围： </w:t>
            </w:r>
          </w:p>
          <w:p w14:paraId="11F152C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（1）GB/T25000.23-2019《系统与软件工程系统与软件质量要求和评价(SQuaRE)第23部分：系统与软件产品质量测量》；</w:t>
            </w:r>
          </w:p>
          <w:p w14:paraId="72029D0C">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（2）GB/T15532-2008 《计算机软件测试规范》；</w:t>
            </w:r>
          </w:p>
          <w:p w14:paraId="694FCAF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（3）GB/T39788-2021《系统与软件工程性能测试方法》；</w:t>
            </w:r>
          </w:p>
          <w:p w14:paraId="352B795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（4）GB/T37096-2018《信息安全技术办公信息系统安全测试规范》；</w:t>
            </w:r>
          </w:p>
          <w:p w14:paraId="5FDBF818">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（5）GB/T21671-2018《基于以太网技术的局域网（LAN）系统验收测试方法》。</w:t>
            </w:r>
          </w:p>
          <w:p w14:paraId="13709AA4">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评审依据：投标文件中须提供CMA资质证书能力附表复印件并加盖公章。</w:t>
            </w:r>
          </w:p>
        </w:tc>
      </w:tr>
      <w:tr w14:paraId="44092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342" w:type="dxa"/>
            <w:vMerge w:val="continue"/>
            <w:tcBorders>
              <w:tl2br w:val="nil"/>
              <w:tr2bl w:val="nil"/>
            </w:tcBorders>
            <w:vAlign w:val="center"/>
          </w:tcPr>
          <w:p w14:paraId="4C529358">
            <w:pPr>
              <w:kinsoku/>
              <w:topLinePunct/>
              <w:autoSpaceDE/>
              <w:autoSpaceDN/>
              <w:jc w:val="center"/>
              <w:rPr>
                <w:rFonts w:hint="eastAsia" w:ascii="宋体" w:hAnsi="宋体" w:eastAsia="宋体" w:cs="宋体"/>
                <w:b w:val="0"/>
                <w:bCs w:val="0"/>
                <w:color w:val="auto"/>
                <w:sz w:val="21"/>
                <w:szCs w:val="21"/>
              </w:rPr>
            </w:pPr>
          </w:p>
        </w:tc>
        <w:tc>
          <w:tcPr>
            <w:tcW w:w="8762" w:type="dxa"/>
            <w:tcBorders>
              <w:tl2br w:val="nil"/>
              <w:tr2bl w:val="nil"/>
            </w:tcBorders>
          </w:tcPr>
          <w:p w14:paraId="16EB645F">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（二）具有信息安全服务资质认证证书（CCRC）的。</w:t>
            </w:r>
          </w:p>
          <w:p w14:paraId="5AC1488D">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评审依据：提供信息安全服务资质认证证书（CCRC）扫描件或复印件，并加盖公章。</w:t>
            </w:r>
          </w:p>
        </w:tc>
      </w:tr>
      <w:tr w14:paraId="7C055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2" w:type="dxa"/>
            <w:vMerge w:val="continue"/>
            <w:tcBorders>
              <w:tl2br w:val="nil"/>
              <w:tr2bl w:val="nil"/>
            </w:tcBorders>
            <w:vAlign w:val="center"/>
          </w:tcPr>
          <w:p w14:paraId="2E030971">
            <w:pPr>
              <w:kinsoku/>
              <w:topLinePunct/>
              <w:autoSpaceDE/>
              <w:autoSpaceDN/>
              <w:jc w:val="center"/>
              <w:rPr>
                <w:rFonts w:hint="eastAsia" w:ascii="宋体" w:hAnsi="宋体" w:eastAsia="宋体" w:cs="宋体"/>
                <w:b w:val="0"/>
                <w:bCs w:val="0"/>
                <w:color w:val="auto"/>
                <w:sz w:val="21"/>
                <w:szCs w:val="21"/>
              </w:rPr>
            </w:pPr>
          </w:p>
        </w:tc>
        <w:tc>
          <w:tcPr>
            <w:tcW w:w="8762" w:type="dxa"/>
            <w:tcBorders>
              <w:tl2br w:val="nil"/>
              <w:tr2bl w:val="nil"/>
            </w:tcBorders>
          </w:tcPr>
          <w:p w14:paraId="458E062C">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（三）具有中国合格评定国家认可委员会实验室认可证书（CNAS）。</w:t>
            </w:r>
          </w:p>
          <w:p w14:paraId="45662E27">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评审依据：提供国家认可委员会实验室认可证书（CNAS）扫描件或复印件，并加盖公章。</w:t>
            </w:r>
          </w:p>
        </w:tc>
      </w:tr>
      <w:tr w14:paraId="30A8F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2" w:type="dxa"/>
            <w:tcBorders>
              <w:tl2br w:val="nil"/>
              <w:tr2bl w:val="nil"/>
            </w:tcBorders>
            <w:vAlign w:val="center"/>
          </w:tcPr>
          <w:p w14:paraId="74B37A92">
            <w:pPr>
              <w:kinsoku/>
              <w:topLinePunct/>
              <w:autoSpaceDE/>
              <w:autoSpaceDN/>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类似业绩</w:t>
            </w:r>
          </w:p>
        </w:tc>
        <w:tc>
          <w:tcPr>
            <w:tcW w:w="8762" w:type="dxa"/>
            <w:tcBorders>
              <w:tl2br w:val="nil"/>
              <w:tr2bl w:val="nil"/>
            </w:tcBorders>
          </w:tcPr>
          <w:p w14:paraId="247229A7">
            <w:pPr>
              <w:kinsoku/>
              <w:topLinePunct/>
              <w:autoSpaceDE/>
              <w:autoSpaceDN/>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自2022年1月1日（以合同签订时间为准）以来具有软件测试项目案例。</w:t>
            </w:r>
          </w:p>
          <w:p w14:paraId="11637C6C">
            <w:pPr>
              <w:kinsoku/>
              <w:topLinePunct/>
              <w:autoSpaceDE/>
              <w:autoSpaceDN/>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评审依据：提供合同扫描件或复印件，并加盖公章。</w:t>
            </w:r>
          </w:p>
        </w:tc>
      </w:tr>
    </w:tbl>
    <w:p w14:paraId="5DCEB749">
      <w:pPr>
        <w:kinsoku/>
        <w:topLinePunct/>
        <w:autoSpaceDE/>
        <w:autoSpaceDN/>
        <w:rPr>
          <w:rFonts w:hint="eastAsia" w:ascii="宋体" w:hAnsi="宋体" w:eastAsia="宋体" w:cs="宋体"/>
          <w:b w:val="0"/>
          <w:bCs w:val="0"/>
          <w:color w:val="auto"/>
          <w:sz w:val="21"/>
          <w:szCs w:val="21"/>
        </w:rPr>
      </w:pPr>
    </w:p>
    <w:p w14:paraId="5E5A50BF">
      <w:pPr>
        <w:pStyle w:val="16"/>
        <w:kinsoku/>
        <w:topLinePunct/>
        <w:autoSpaceDE/>
        <w:autoSpaceDN/>
        <w:ind w:firstLine="300"/>
        <w:rPr>
          <w:rFonts w:hint="eastAsia"/>
          <w:b w:val="0"/>
          <w:bCs w:val="0"/>
          <w:color w:val="auto"/>
          <w:sz w:val="21"/>
          <w:szCs w:val="21"/>
          <w:lang w:eastAsia="zh-CN"/>
        </w:rPr>
      </w:pPr>
    </w:p>
    <w:p w14:paraId="11365BAC">
      <w:pPr>
        <w:kinsoku/>
        <w:topLinePunct/>
        <w:autoSpaceDE/>
        <w:autoSpaceDN/>
        <w:rPr>
          <w:rFonts w:hint="eastAsia"/>
          <w:b w:val="0"/>
          <w:bCs w:val="0"/>
          <w:color w:val="auto"/>
          <w:sz w:val="21"/>
          <w:szCs w:val="21"/>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8A2DA">
    <w:pPr>
      <w:pStyle w:val="12"/>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4910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6B08">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CD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F7D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4589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B1E67"/>
    <w:multiLevelType w:val="multilevel"/>
    <w:tmpl w:val="26AB1E67"/>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D2"/>
    <w:rsid w:val="001C60AD"/>
    <w:rsid w:val="003022C0"/>
    <w:rsid w:val="00316D4A"/>
    <w:rsid w:val="003F6CE6"/>
    <w:rsid w:val="00451A86"/>
    <w:rsid w:val="00632D90"/>
    <w:rsid w:val="006609F7"/>
    <w:rsid w:val="00901615"/>
    <w:rsid w:val="009A0ADD"/>
    <w:rsid w:val="009B24C7"/>
    <w:rsid w:val="00A71452"/>
    <w:rsid w:val="00B745D2"/>
    <w:rsid w:val="00EC311D"/>
    <w:rsid w:val="00F42D81"/>
    <w:rsid w:val="020F790B"/>
    <w:rsid w:val="02C170CB"/>
    <w:rsid w:val="048900BC"/>
    <w:rsid w:val="06180AA3"/>
    <w:rsid w:val="091268D2"/>
    <w:rsid w:val="0CC41520"/>
    <w:rsid w:val="0E476939"/>
    <w:rsid w:val="0F9E1CC2"/>
    <w:rsid w:val="120B3EBE"/>
    <w:rsid w:val="13533D6F"/>
    <w:rsid w:val="1988673C"/>
    <w:rsid w:val="19901047"/>
    <w:rsid w:val="1CB11B06"/>
    <w:rsid w:val="212C5BFF"/>
    <w:rsid w:val="22317971"/>
    <w:rsid w:val="23904F0C"/>
    <w:rsid w:val="30102A86"/>
    <w:rsid w:val="32FD564D"/>
    <w:rsid w:val="33907941"/>
    <w:rsid w:val="33C90024"/>
    <w:rsid w:val="3A414072"/>
    <w:rsid w:val="3C6D3AAD"/>
    <w:rsid w:val="41A45865"/>
    <w:rsid w:val="41AA4BF2"/>
    <w:rsid w:val="42EB54C2"/>
    <w:rsid w:val="46DA7708"/>
    <w:rsid w:val="4EF676C9"/>
    <w:rsid w:val="532A3783"/>
    <w:rsid w:val="538452A3"/>
    <w:rsid w:val="57C32112"/>
    <w:rsid w:val="5B643820"/>
    <w:rsid w:val="5D101956"/>
    <w:rsid w:val="60077E8C"/>
    <w:rsid w:val="62A90370"/>
    <w:rsid w:val="62CF5694"/>
    <w:rsid w:val="652C514E"/>
    <w:rsid w:val="677B277B"/>
    <w:rsid w:val="67866C82"/>
    <w:rsid w:val="68E00F62"/>
    <w:rsid w:val="6B8005EE"/>
    <w:rsid w:val="6BC07C08"/>
    <w:rsid w:val="6DD32AC9"/>
    <w:rsid w:val="71D376CA"/>
    <w:rsid w:val="74DF6386"/>
    <w:rsid w:val="75DC0B17"/>
    <w:rsid w:val="793A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0" w:line="240" w:lineRule="auto"/>
      <w:textAlignment w:val="baseline"/>
    </w:pPr>
    <w:rPr>
      <w:rFonts w:ascii="Arial" w:hAnsi="Arial" w:eastAsia="Arial" w:cs="Arial"/>
      <w:snapToGrid w:val="0"/>
      <w:color w:val="000000"/>
      <w:kern w:val="0"/>
      <w:sz w:val="21"/>
      <w:szCs w:val="21"/>
      <w:lang w:val="en-US" w:eastAsia="en-US" w:bidi="ar-SA"/>
      <w14:ligatures w14:val="none"/>
    </w:rPr>
  </w:style>
  <w:style w:type="paragraph" w:styleId="3">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2">
    <w:name w:val="heading 4"/>
    <w:basedOn w:val="1"/>
    <w:next w:val="1"/>
    <w:link w:val="22"/>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1"/>
    <w:semiHidden/>
    <w:unhideWhenUsed/>
    <w:qFormat/>
    <w:uiPriority w:val="99"/>
    <w:pPr>
      <w:spacing w:after="120"/>
    </w:pPr>
  </w:style>
  <w:style w:type="paragraph" w:styleId="12">
    <w:name w:val="footer"/>
    <w:basedOn w:val="1"/>
    <w:link w:val="38"/>
    <w:unhideWhenUsed/>
    <w:qFormat/>
    <w:uiPriority w:val="0"/>
    <w:pPr>
      <w:tabs>
        <w:tab w:val="center" w:pos="4153"/>
        <w:tab w:val="right" w:pos="8306"/>
      </w:tabs>
    </w:pPr>
    <w:rPr>
      <w:sz w:val="18"/>
      <w:szCs w:val="18"/>
    </w:rPr>
  </w:style>
  <w:style w:type="paragraph" w:styleId="13">
    <w:name w:val="header"/>
    <w:basedOn w:val="1"/>
    <w:link w:val="37"/>
    <w:unhideWhenUsed/>
    <w:qFormat/>
    <w:uiPriority w:val="99"/>
    <w:pPr>
      <w:tabs>
        <w:tab w:val="center" w:pos="4153"/>
        <w:tab w:val="right" w:pos="8306"/>
      </w:tabs>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Body Text First Indent"/>
    <w:basedOn w:val="11"/>
    <w:link w:val="42"/>
    <w:qFormat/>
    <w:uiPriority w:val="0"/>
    <w:pPr>
      <w:spacing w:after="0"/>
      <w:ind w:firstLine="420" w:firstLineChars="100"/>
    </w:pPr>
    <w:rPr>
      <w:rFonts w:ascii="仿宋" w:hAnsi="仿宋" w:eastAsia="仿宋" w:cs="仿宋"/>
      <w:sz w:val="30"/>
      <w:szCs w:val="30"/>
    </w:rPr>
  </w:style>
  <w:style w:type="character" w:customStyle="1" w:styleId="19">
    <w:name w:val="标题 1 字符"/>
    <w:basedOn w:val="18"/>
    <w:link w:val="3"/>
    <w:qFormat/>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8"/>
    <w:link w:val="4"/>
    <w:qFormat/>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8"/>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8"/>
    <w:link w:val="2"/>
    <w:semiHidden/>
    <w:qFormat/>
    <w:uiPriority w:val="9"/>
    <w:rPr>
      <w:rFonts w:cstheme="majorBidi"/>
      <w:color w:val="2F5597" w:themeColor="accent1" w:themeShade="BF"/>
      <w:sz w:val="28"/>
      <w:szCs w:val="28"/>
    </w:rPr>
  </w:style>
  <w:style w:type="character" w:customStyle="1" w:styleId="23">
    <w:name w:val="标题 5 字符"/>
    <w:basedOn w:val="18"/>
    <w:link w:val="6"/>
    <w:semiHidden/>
    <w:qFormat/>
    <w:uiPriority w:val="9"/>
    <w:rPr>
      <w:rFonts w:cstheme="majorBidi"/>
      <w:color w:val="2F5597" w:themeColor="accent1" w:themeShade="BF"/>
      <w:sz w:val="24"/>
    </w:rPr>
  </w:style>
  <w:style w:type="character" w:customStyle="1" w:styleId="24">
    <w:name w:val="标题 6 字符"/>
    <w:basedOn w:val="18"/>
    <w:link w:val="7"/>
    <w:semiHidden/>
    <w:qFormat/>
    <w:uiPriority w:val="9"/>
    <w:rPr>
      <w:rFonts w:cstheme="majorBidi"/>
      <w:b/>
      <w:bCs/>
      <w:color w:val="2F5597"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8"/>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8"/>
    <w:link w:val="34"/>
    <w:qFormat/>
    <w:uiPriority w:val="30"/>
    <w:rPr>
      <w:i/>
      <w:iCs/>
      <w:color w:val="2F5597" w:themeColor="accent1" w:themeShade="BF"/>
    </w:rPr>
  </w:style>
  <w:style w:type="character" w:customStyle="1" w:styleId="36">
    <w:name w:val="Intense Reference"/>
    <w:basedOn w:val="18"/>
    <w:qFormat/>
    <w:uiPriority w:val="32"/>
    <w:rPr>
      <w:b/>
      <w:bCs/>
      <w:smallCaps/>
      <w:color w:val="2F5597"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table" w:customStyle="1" w:styleId="39">
    <w:name w:val="Table Normal"/>
    <w:semiHidden/>
    <w:unhideWhenUsed/>
    <w:qFormat/>
    <w:uiPriority w:val="0"/>
    <w:pPr>
      <w:spacing w:after="0" w:line="240" w:lineRule="auto"/>
    </w:pPr>
    <w:rPr>
      <w:rFonts w:ascii="Times New Roman" w:hAnsi="Times New Roman" w:eastAsia="宋体" w:cs="Times New Roman"/>
      <w:kern w:val="0"/>
      <w:sz w:val="20"/>
      <w:szCs w:val="20"/>
      <w14:ligatures w14:val="none"/>
    </w:rPr>
    <w:tblPr>
      <w:tblCellMar>
        <w:top w:w="0" w:type="dxa"/>
        <w:left w:w="0" w:type="dxa"/>
        <w:bottom w:w="0" w:type="dxa"/>
        <w:right w:w="0" w:type="dxa"/>
      </w:tblCellMar>
    </w:tblPr>
  </w:style>
  <w:style w:type="paragraph" w:customStyle="1" w:styleId="40">
    <w:name w:val="Table Text"/>
    <w:basedOn w:val="1"/>
    <w:semiHidden/>
    <w:qFormat/>
    <w:uiPriority w:val="0"/>
  </w:style>
  <w:style w:type="character" w:customStyle="1" w:styleId="41">
    <w:name w:val="正文文本 字符"/>
    <w:basedOn w:val="18"/>
    <w:link w:val="11"/>
    <w:semiHidden/>
    <w:qFormat/>
    <w:uiPriority w:val="99"/>
    <w:rPr>
      <w:rFonts w:ascii="Arial" w:hAnsi="Arial" w:eastAsia="Arial" w:cs="Arial"/>
      <w:snapToGrid w:val="0"/>
      <w:color w:val="000000"/>
      <w:kern w:val="0"/>
      <w:sz w:val="21"/>
      <w:szCs w:val="21"/>
      <w:lang w:eastAsia="en-US"/>
      <w14:ligatures w14:val="none"/>
    </w:rPr>
  </w:style>
  <w:style w:type="character" w:customStyle="1" w:styleId="42">
    <w:name w:val="正文文本首行缩进 字符"/>
    <w:basedOn w:val="41"/>
    <w:link w:val="16"/>
    <w:qFormat/>
    <w:uiPriority w:val="0"/>
    <w:rPr>
      <w:rFonts w:ascii="仿宋" w:hAnsi="仿宋" w:eastAsia="仿宋" w:cs="仿宋"/>
      <w:snapToGrid w:val="0"/>
      <w:color w:val="000000"/>
      <w:kern w:val="0"/>
      <w:sz w:val="30"/>
      <w:szCs w:val="30"/>
      <w:lang w:eastAsia="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2698</Words>
  <Characters>2839</Characters>
  <Lines>168</Lines>
  <Paragraphs>153</Paragraphs>
  <TotalTime>34</TotalTime>
  <ScaleCrop>false</ScaleCrop>
  <LinksUpToDate>false</LinksUpToDate>
  <CharactersWithSpaces>2850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2025-07-15T03:22:00Z</dcterms:created>
  <dc:creator>只 只</dc:creator>
  <cp:lastModifiedBy>light</cp:lastModifiedBy>
  <dcterms:modified xsi:type="dcterms:W3CDTF">2025-09-08T08:46:51Z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eyJoZGlkIjoiZmNmMmM4NWVjMzA5NWEzYjk2YjY4YjRlNjhjZTUyYWUiLCJ1c2VySWQiOiI3MzA3MzUzMjIifQ==</vt:lpwstr>
  </property>
  <property fmtid="{D5CDD505-2E9C-101B-9397-08002B2CF9AE}" pid="3" name="KSOProductBuildVer">
    <vt:lpwstr>2052-12.1.0.21915</vt:lpwstr>
  </property>
  <property fmtid="{D5CDD505-2E9C-101B-9397-08002B2CF9AE}" pid="4" name="ICV">
    <vt:lpwstr>9FC92B68AD7047DB9EC199BDCE32283C_13</vt:lpwstr>
  </property>
</Properties>
</file>