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9A1848">
      <w:pPr>
        <w:jc w:val="center"/>
        <w:rPr>
          <w:rFonts w:hint="eastAsia" w:eastAsiaTheme="minorEastAsia"/>
          <w:b/>
          <w:bCs/>
          <w:sz w:val="32"/>
          <w:szCs w:val="32"/>
          <w:lang w:eastAsia="zh-CN"/>
        </w:rPr>
      </w:pPr>
      <w:r>
        <w:rPr>
          <w:rFonts w:hint="eastAsia"/>
          <w:b/>
          <w:bCs/>
          <w:sz w:val="32"/>
          <w:szCs w:val="32"/>
        </w:rPr>
        <w:t>上饶市人民医院城北院区气动物流传输系统年度维保服务</w:t>
      </w:r>
      <w:r>
        <w:rPr>
          <w:rFonts w:hint="eastAsia"/>
          <w:b/>
          <w:bCs/>
          <w:sz w:val="32"/>
          <w:szCs w:val="32"/>
          <w:lang w:val="en-US" w:eastAsia="zh-CN"/>
        </w:rPr>
        <w:t>需求参数</w:t>
      </w:r>
    </w:p>
    <w:p w14:paraId="021401EC">
      <w:pPr>
        <w:spacing w:line="360" w:lineRule="auto"/>
        <w:rPr>
          <w:rFonts w:hint="eastAsia"/>
          <w:sz w:val="24"/>
          <w:szCs w:val="24"/>
        </w:rPr>
      </w:pPr>
    </w:p>
    <w:p w14:paraId="2FBAF446">
      <w:pPr>
        <w:spacing w:line="360" w:lineRule="auto"/>
        <w:rPr>
          <w:rFonts w:hint="eastAsia"/>
          <w:sz w:val="24"/>
          <w:szCs w:val="24"/>
        </w:rPr>
      </w:pPr>
      <w:r>
        <w:rPr>
          <w:rFonts w:hint="eastAsia"/>
          <w:sz w:val="24"/>
          <w:szCs w:val="24"/>
        </w:rPr>
        <w:t>一、维保服务内容</w:t>
      </w:r>
    </w:p>
    <w:p w14:paraId="3D70BFF4">
      <w:pPr>
        <w:spacing w:line="360" w:lineRule="auto"/>
        <w:rPr>
          <w:rFonts w:hint="eastAsia"/>
          <w:sz w:val="24"/>
          <w:szCs w:val="24"/>
        </w:rPr>
      </w:pPr>
      <w:r>
        <w:rPr>
          <w:rFonts w:hint="eastAsia"/>
          <w:sz w:val="24"/>
          <w:szCs w:val="24"/>
        </w:rPr>
        <w:t>依据原厂维保标准，服务内容包括：</w:t>
      </w:r>
    </w:p>
    <w:p w14:paraId="0A11DC67">
      <w:pPr>
        <w:spacing w:line="360" w:lineRule="auto"/>
        <w:rPr>
          <w:rFonts w:hint="eastAsia"/>
          <w:sz w:val="24"/>
          <w:szCs w:val="24"/>
        </w:rPr>
      </w:pPr>
      <w:r>
        <w:rPr>
          <w:rFonts w:hint="eastAsia"/>
          <w:sz w:val="24"/>
          <w:szCs w:val="24"/>
        </w:rPr>
        <w:t>每季度一次全面巡检与保养；</w:t>
      </w:r>
    </w:p>
    <w:p w14:paraId="2214C783">
      <w:pPr>
        <w:spacing w:line="360" w:lineRule="auto"/>
        <w:rPr>
          <w:rFonts w:hint="eastAsia"/>
          <w:sz w:val="24"/>
          <w:szCs w:val="24"/>
        </w:rPr>
      </w:pPr>
      <w:r>
        <w:rPr>
          <w:rFonts w:hint="eastAsia"/>
          <w:sz w:val="24"/>
          <w:szCs w:val="24"/>
        </w:rPr>
        <w:t>故障应急响应与远程技术支持；</w:t>
      </w:r>
    </w:p>
    <w:p w14:paraId="233BFEA8">
      <w:pPr>
        <w:spacing w:line="360" w:lineRule="auto"/>
        <w:rPr>
          <w:rFonts w:hint="eastAsia"/>
          <w:sz w:val="24"/>
          <w:szCs w:val="24"/>
        </w:rPr>
      </w:pPr>
      <w:r>
        <w:rPr>
          <w:rFonts w:hint="eastAsia"/>
          <w:sz w:val="24"/>
          <w:szCs w:val="24"/>
        </w:rPr>
        <w:t>易损件检测与更换（如摩擦圈、传感器等）；</w:t>
      </w:r>
    </w:p>
    <w:p w14:paraId="697B0C48">
      <w:pPr>
        <w:spacing w:line="360" w:lineRule="auto"/>
        <w:rPr>
          <w:rFonts w:hint="eastAsia"/>
          <w:sz w:val="24"/>
          <w:szCs w:val="24"/>
        </w:rPr>
      </w:pPr>
      <w:r>
        <w:rPr>
          <w:rFonts w:hint="eastAsia"/>
          <w:sz w:val="24"/>
          <w:szCs w:val="24"/>
        </w:rPr>
        <w:t>系统性能优化与数据备份；</w:t>
      </w:r>
    </w:p>
    <w:p w14:paraId="258D5177">
      <w:pPr>
        <w:tabs>
          <w:tab w:val="left" w:pos="3594"/>
        </w:tabs>
        <w:spacing w:line="360" w:lineRule="auto"/>
        <w:rPr>
          <w:rFonts w:hint="eastAsia"/>
          <w:sz w:val="24"/>
          <w:szCs w:val="24"/>
        </w:rPr>
      </w:pPr>
      <w:r>
        <w:rPr>
          <w:rFonts w:hint="eastAsia"/>
          <w:sz w:val="24"/>
          <w:szCs w:val="24"/>
        </w:rPr>
        <w:t>提供维保报告与运行建议。</w:t>
      </w:r>
    </w:p>
    <w:p w14:paraId="5B0580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维保服务范围</w:t>
      </w:r>
      <w:r>
        <w:rPr>
          <w:rFonts w:hint="eastAsia" w:ascii="宋体" w:hAnsi="宋体" w:eastAsia="宋体" w:cs="宋体"/>
          <w:color w:val="auto"/>
          <w:sz w:val="24"/>
          <w:szCs w:val="24"/>
        </w:rPr>
        <w:t>：</w:t>
      </w:r>
      <w:r>
        <w:rPr>
          <w:rFonts w:hint="eastAsia" w:ascii="宋体" w:hAnsi="宋体" w:eastAsia="宋体" w:cs="宋体"/>
          <w:sz w:val="24"/>
          <w:szCs w:val="24"/>
          <w:highlight w:val="none"/>
          <w:u w:val="none"/>
          <w:lang w:val="en-US" w:eastAsia="zh-CN"/>
        </w:rPr>
        <w:t>修理和更换由于设备自身质量问题造成的损坏及故障</w:t>
      </w:r>
      <w:r>
        <w:rPr>
          <w:rFonts w:hint="eastAsia" w:ascii="宋体" w:hAnsi="宋体" w:eastAsia="宋体" w:cs="宋体"/>
          <w:color w:val="auto"/>
          <w:sz w:val="24"/>
          <w:szCs w:val="24"/>
          <w:lang w:val="en-US" w:eastAsia="zh-CN"/>
        </w:rPr>
        <w:t>（不含整机更换及易耗品:传输瓶、摩擦圈、海绵、光电传感器；包含</w:t>
      </w:r>
      <w:r>
        <w:rPr>
          <w:rFonts w:hint="eastAsia" w:ascii="宋体" w:hAnsi="宋体" w:eastAsia="宋体" w:cs="宋体"/>
          <w:color w:val="auto"/>
          <w:sz w:val="24"/>
          <w:szCs w:val="24"/>
        </w:rPr>
        <w:t>上门服务</w:t>
      </w:r>
      <w:r>
        <w:rPr>
          <w:rFonts w:hint="eastAsia" w:ascii="宋体" w:hAnsi="宋体" w:eastAsia="宋体" w:cs="宋体"/>
          <w:color w:val="auto"/>
          <w:sz w:val="24"/>
          <w:szCs w:val="24"/>
          <w:lang w:val="en-US" w:eastAsia="zh-CN"/>
        </w:rPr>
        <w:t>产生的人员差旅费、技术服务费、工时费等。不含</w:t>
      </w:r>
      <w:r>
        <w:rPr>
          <w:rFonts w:hint="eastAsia" w:ascii="宋体" w:hAnsi="宋体" w:eastAsia="宋体" w:cs="宋体"/>
          <w:sz w:val="24"/>
          <w:szCs w:val="24"/>
        </w:rPr>
        <w:t>因人为、甲方过错或不可抗力等因素致使的故障</w:t>
      </w:r>
      <w:r>
        <w:rPr>
          <w:rFonts w:hint="eastAsia" w:ascii="宋体" w:hAnsi="宋体" w:eastAsia="宋体" w:cs="宋体"/>
          <w:sz w:val="24"/>
          <w:szCs w:val="24"/>
          <w:lang w:eastAsia="zh-CN"/>
        </w:rPr>
        <w:t>；</w:t>
      </w:r>
      <w:r>
        <w:rPr>
          <w:rFonts w:hint="eastAsia" w:ascii="宋体" w:hAnsi="宋体" w:eastAsia="宋体" w:cs="宋体"/>
          <w:color w:val="auto"/>
          <w:sz w:val="24"/>
          <w:szCs w:val="24"/>
        </w:rPr>
        <w:t>不含维护合同以外设备及管道线路改造；不含维护时吊顶拆除所涉及的装饰装修及基建费用</w:t>
      </w:r>
      <w:r>
        <w:rPr>
          <w:rFonts w:hint="eastAsia" w:ascii="宋体" w:hAnsi="宋体" w:eastAsia="宋体" w:cs="宋体"/>
          <w:color w:val="auto"/>
          <w:sz w:val="24"/>
          <w:szCs w:val="24"/>
          <w:lang w:eastAsia="zh-CN"/>
        </w:rPr>
        <w:t>。）</w:t>
      </w:r>
    </w:p>
    <w:p w14:paraId="27E63D2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常故障处理及一年四次(每季度一次)例行维护保养，每次维护服务时间约3-5个工作日。维保内容按《气动物流系统维护保养内容清单》,保养后提供相应的系统维护记录及运行状况评估，并出具一份详细的维护保养报告，含本次保养内容、发现及处理的问题以及系统后续使用建议。通过远程服务每月向业主方呈报系统自检报告及单项急修处理情况报告。</w:t>
      </w:r>
    </w:p>
    <w:tbl>
      <w:tblPr>
        <w:tblStyle w:val="5"/>
        <w:tblW w:w="8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96" w:type="dxa"/>
          <w:bottom w:w="45" w:type="dxa"/>
          <w:right w:w="96" w:type="dxa"/>
        </w:tblCellMar>
      </w:tblPr>
      <w:tblGrid>
        <w:gridCol w:w="2654"/>
        <w:gridCol w:w="6152"/>
      </w:tblGrid>
      <w:tr w14:paraId="783C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tblHeader/>
          <w:jc w:val="center"/>
        </w:trPr>
        <w:tc>
          <w:tcPr>
            <w:tcW w:w="2654" w:type="dxa"/>
            <w:noWrap w:val="0"/>
            <w:vAlign w:val="center"/>
          </w:tcPr>
          <w:p w14:paraId="0B647FB3">
            <w:pPr>
              <w:keepNext w:val="0"/>
              <w:keepLines w:val="0"/>
              <w:widowControl/>
              <w:suppressLineNumbers w:val="0"/>
              <w:snapToGrid w:val="0"/>
              <w:jc w:val="center"/>
              <w:rPr>
                <w:rFonts w:hint="eastAsia" w:ascii="宋体" w:hAnsi="宋体" w:eastAsia="宋体" w:cs="宋体"/>
                <w:b/>
                <w:color w:val="252525"/>
                <w:kern w:val="0"/>
                <w:sz w:val="24"/>
                <w:szCs w:val="24"/>
                <w:vertAlign w:val="baseline"/>
                <w:lang w:val="en-US" w:eastAsia="zh-CN" w:bidi="ar"/>
              </w:rPr>
            </w:pPr>
            <w:r>
              <w:rPr>
                <w:rFonts w:hint="eastAsia" w:ascii="宋体" w:hAnsi="宋体" w:eastAsia="宋体" w:cs="宋体"/>
                <w:b/>
                <w:color w:val="252525"/>
                <w:kern w:val="0"/>
                <w:sz w:val="24"/>
                <w:szCs w:val="24"/>
                <w:vertAlign w:val="baseline"/>
                <w:lang w:val="en-US" w:eastAsia="zh-CN" w:bidi="ar"/>
              </w:rPr>
              <w:t>部件</w:t>
            </w:r>
          </w:p>
        </w:tc>
        <w:tc>
          <w:tcPr>
            <w:tcW w:w="6152" w:type="dxa"/>
            <w:noWrap w:val="0"/>
            <w:vAlign w:val="center"/>
          </w:tcPr>
          <w:p w14:paraId="2CC20F60">
            <w:pPr>
              <w:keepNext w:val="0"/>
              <w:keepLines w:val="0"/>
              <w:widowControl/>
              <w:suppressLineNumbers w:val="0"/>
              <w:snapToGrid w:val="0"/>
              <w:jc w:val="center"/>
              <w:rPr>
                <w:rFonts w:hint="eastAsia" w:ascii="宋体" w:hAnsi="宋体" w:eastAsia="宋体" w:cs="宋体"/>
                <w:b/>
                <w:color w:val="252525"/>
                <w:kern w:val="0"/>
                <w:sz w:val="24"/>
                <w:szCs w:val="24"/>
                <w:vertAlign w:val="baseline"/>
                <w:lang w:val="en-US" w:eastAsia="zh-CN" w:bidi="ar"/>
              </w:rPr>
            </w:pPr>
            <w:r>
              <w:rPr>
                <w:rFonts w:hint="eastAsia" w:ascii="宋体" w:hAnsi="宋体" w:eastAsia="宋体" w:cs="宋体"/>
                <w:b/>
                <w:color w:val="252525"/>
                <w:kern w:val="0"/>
                <w:sz w:val="24"/>
                <w:szCs w:val="24"/>
                <w:vertAlign w:val="baseline"/>
                <w:lang w:val="en-US" w:eastAsia="zh-CN" w:bidi="ar"/>
              </w:rPr>
              <w:t>维护内容</w:t>
            </w:r>
          </w:p>
        </w:tc>
      </w:tr>
      <w:tr w14:paraId="3658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noWrap w:val="0"/>
            <w:vAlign w:val="center"/>
          </w:tcPr>
          <w:p w14:paraId="5D7ABC7E">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中央控制单元的维护</w:t>
            </w:r>
          </w:p>
        </w:tc>
        <w:tc>
          <w:tcPr>
            <w:tcW w:w="6152" w:type="dxa"/>
            <w:noWrap w:val="0"/>
            <w:vAlign w:val="center"/>
          </w:tcPr>
          <w:p w14:paraId="009AA8DA">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定期回访、检查设备，正常情况下每年4次。</w:t>
            </w:r>
          </w:p>
        </w:tc>
      </w:tr>
      <w:tr w14:paraId="6A78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noWrap w:val="0"/>
            <w:vAlign w:val="center"/>
          </w:tcPr>
          <w:p w14:paraId="72CF98A0">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电力供应机的维护</w:t>
            </w:r>
          </w:p>
        </w:tc>
        <w:tc>
          <w:tcPr>
            <w:tcW w:w="6152" w:type="dxa"/>
            <w:noWrap w:val="0"/>
            <w:vAlign w:val="center"/>
          </w:tcPr>
          <w:p w14:paraId="5929412C">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定期回访、检查设备，正常情况下每年4次。</w:t>
            </w:r>
          </w:p>
        </w:tc>
      </w:tr>
      <w:tr w14:paraId="5E86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vMerge w:val="restart"/>
            <w:noWrap w:val="0"/>
            <w:vAlign w:val="center"/>
          </w:tcPr>
          <w:p w14:paraId="47FAA7E1">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四口转接机的维护</w:t>
            </w:r>
          </w:p>
        </w:tc>
        <w:tc>
          <w:tcPr>
            <w:tcW w:w="6152" w:type="dxa"/>
            <w:noWrap w:val="0"/>
            <w:vAlign w:val="center"/>
          </w:tcPr>
          <w:p w14:paraId="60784C2D">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定期回访、检查设备，正常情况下每年4次。</w:t>
            </w:r>
          </w:p>
        </w:tc>
      </w:tr>
      <w:tr w14:paraId="5A76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vMerge w:val="continue"/>
            <w:noWrap w:val="0"/>
            <w:vAlign w:val="center"/>
          </w:tcPr>
          <w:p w14:paraId="137E2436">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p>
        </w:tc>
        <w:tc>
          <w:tcPr>
            <w:tcW w:w="6152" w:type="dxa"/>
            <w:noWrap w:val="0"/>
            <w:vAlign w:val="center"/>
          </w:tcPr>
          <w:p w14:paraId="200DB713">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使用合成清洁剂"SACTIF"清洁部件，对滑板面使用硅油进行润滑，每年2次。</w:t>
            </w:r>
          </w:p>
        </w:tc>
      </w:tr>
      <w:tr w14:paraId="07C9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vMerge w:val="continue"/>
            <w:noWrap w:val="0"/>
            <w:vAlign w:val="center"/>
          </w:tcPr>
          <w:p w14:paraId="1060D4D2">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p>
        </w:tc>
        <w:tc>
          <w:tcPr>
            <w:tcW w:w="6152" w:type="dxa"/>
            <w:noWrap w:val="0"/>
            <w:vAlign w:val="center"/>
          </w:tcPr>
          <w:p w14:paraId="6F73D56E">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检测密封圈密封状态、检查校准S弯管的位置。</w:t>
            </w:r>
          </w:p>
        </w:tc>
      </w:tr>
      <w:tr w14:paraId="2978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vMerge w:val="continue"/>
            <w:noWrap w:val="0"/>
            <w:vAlign w:val="center"/>
          </w:tcPr>
          <w:p w14:paraId="42C98F39">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p>
        </w:tc>
        <w:tc>
          <w:tcPr>
            <w:tcW w:w="6152" w:type="dxa"/>
            <w:noWrap w:val="0"/>
            <w:vAlign w:val="center"/>
          </w:tcPr>
          <w:p w14:paraId="732B4B26">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按使用说明检测电机、磁感开关、光感开关及电路板。</w:t>
            </w:r>
          </w:p>
        </w:tc>
      </w:tr>
      <w:tr w14:paraId="69EE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vMerge w:val="continue"/>
            <w:noWrap w:val="0"/>
            <w:vAlign w:val="center"/>
          </w:tcPr>
          <w:p w14:paraId="28E623AD">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p>
        </w:tc>
        <w:tc>
          <w:tcPr>
            <w:tcW w:w="6152" w:type="dxa"/>
            <w:noWrap w:val="0"/>
            <w:vAlign w:val="center"/>
          </w:tcPr>
          <w:p w14:paraId="7D1961B6">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参照部件使用说明书进行其它机械和电子相关检测。</w:t>
            </w:r>
          </w:p>
        </w:tc>
      </w:tr>
      <w:tr w14:paraId="75DD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vMerge w:val="restart"/>
            <w:noWrap w:val="0"/>
            <w:vAlign w:val="center"/>
          </w:tcPr>
          <w:p w14:paraId="1CBC83F7">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p>
          <w:p w14:paraId="2BE86FE7">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工作站的维护</w:t>
            </w:r>
          </w:p>
        </w:tc>
        <w:tc>
          <w:tcPr>
            <w:tcW w:w="6152" w:type="dxa"/>
            <w:noWrap w:val="0"/>
            <w:vAlign w:val="center"/>
          </w:tcPr>
          <w:p w14:paraId="34A8411B">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使用合成清洁剂"SACTIF"清洁部件，对滑板面使用硅油进行润滑，每年2次。</w:t>
            </w:r>
          </w:p>
        </w:tc>
      </w:tr>
      <w:tr w14:paraId="0445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vMerge w:val="continue"/>
            <w:noWrap w:val="0"/>
            <w:vAlign w:val="center"/>
          </w:tcPr>
          <w:p w14:paraId="72B17F3B">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p>
        </w:tc>
        <w:tc>
          <w:tcPr>
            <w:tcW w:w="6152" w:type="dxa"/>
            <w:noWrap w:val="0"/>
            <w:vAlign w:val="center"/>
          </w:tcPr>
          <w:p w14:paraId="063292F3">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定期回访、检查设备，正常情况下每年4次。</w:t>
            </w:r>
          </w:p>
        </w:tc>
      </w:tr>
      <w:tr w14:paraId="420F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vMerge w:val="continue"/>
            <w:noWrap w:val="0"/>
            <w:vAlign w:val="center"/>
          </w:tcPr>
          <w:p w14:paraId="20AAB1FD">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p>
        </w:tc>
        <w:tc>
          <w:tcPr>
            <w:tcW w:w="6152" w:type="dxa"/>
            <w:noWrap w:val="0"/>
            <w:vAlign w:val="center"/>
          </w:tcPr>
          <w:p w14:paraId="7B6A4AEF">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检测密封圈密封状态</w:t>
            </w:r>
          </w:p>
        </w:tc>
      </w:tr>
      <w:tr w14:paraId="5B97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vMerge w:val="continue"/>
            <w:noWrap w:val="0"/>
            <w:vAlign w:val="center"/>
          </w:tcPr>
          <w:p w14:paraId="1E6DD500">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p>
        </w:tc>
        <w:tc>
          <w:tcPr>
            <w:tcW w:w="6152" w:type="dxa"/>
            <w:noWrap w:val="0"/>
            <w:vAlign w:val="center"/>
          </w:tcPr>
          <w:p w14:paraId="0F5EC5C7">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旁路管的三个位置调整，调节磁感开关以满足出厂标记的正确对应。</w:t>
            </w:r>
          </w:p>
        </w:tc>
      </w:tr>
      <w:tr w14:paraId="63AFF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vMerge w:val="continue"/>
            <w:noWrap w:val="0"/>
            <w:vAlign w:val="center"/>
          </w:tcPr>
          <w:p w14:paraId="4B7AB9F8">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p>
        </w:tc>
        <w:tc>
          <w:tcPr>
            <w:tcW w:w="6152" w:type="dxa"/>
            <w:noWrap w:val="0"/>
            <w:vAlign w:val="center"/>
          </w:tcPr>
          <w:p w14:paraId="290079B7">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检查传输瓶存储管固定钩是否损坏或位置是否正确。</w:t>
            </w:r>
          </w:p>
        </w:tc>
      </w:tr>
      <w:tr w14:paraId="4F27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vMerge w:val="continue"/>
            <w:noWrap w:val="0"/>
            <w:vAlign w:val="center"/>
          </w:tcPr>
          <w:p w14:paraId="73592A71">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p>
        </w:tc>
        <w:tc>
          <w:tcPr>
            <w:tcW w:w="6152" w:type="dxa"/>
            <w:noWrap w:val="0"/>
            <w:vAlign w:val="center"/>
          </w:tcPr>
          <w:p w14:paraId="2BD75C8D">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按使用说明检测电机、磁感开关、光感开关、电路板及其它机械和电子相关检测。</w:t>
            </w:r>
          </w:p>
        </w:tc>
      </w:tr>
      <w:tr w14:paraId="04C5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vMerge w:val="restart"/>
            <w:noWrap w:val="0"/>
            <w:vAlign w:val="center"/>
          </w:tcPr>
          <w:p w14:paraId="475A50A1">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传输瓶维护</w:t>
            </w:r>
          </w:p>
        </w:tc>
        <w:tc>
          <w:tcPr>
            <w:tcW w:w="6152" w:type="dxa"/>
            <w:noWrap w:val="0"/>
            <w:vAlign w:val="center"/>
          </w:tcPr>
          <w:p w14:paraId="49ABCB6D">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定期检测传输瓶的易损护件。正常情况下每年4次。</w:t>
            </w:r>
          </w:p>
        </w:tc>
      </w:tr>
      <w:tr w14:paraId="1E3F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vMerge w:val="continue"/>
            <w:noWrap w:val="0"/>
            <w:vAlign w:val="center"/>
          </w:tcPr>
          <w:p w14:paraId="7620DC52">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p>
        </w:tc>
        <w:tc>
          <w:tcPr>
            <w:tcW w:w="6152" w:type="dxa"/>
            <w:noWrap w:val="0"/>
            <w:vAlign w:val="center"/>
          </w:tcPr>
          <w:p w14:paraId="4F62825F">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检查传输瓶的摩擦圈等护件。</w:t>
            </w:r>
          </w:p>
        </w:tc>
      </w:tr>
      <w:tr w14:paraId="4CD2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vMerge w:val="continue"/>
            <w:noWrap w:val="0"/>
            <w:vAlign w:val="center"/>
          </w:tcPr>
          <w:p w14:paraId="6C35B8B0">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p>
        </w:tc>
        <w:tc>
          <w:tcPr>
            <w:tcW w:w="6152" w:type="dxa"/>
            <w:noWrap w:val="0"/>
            <w:vAlign w:val="center"/>
          </w:tcPr>
          <w:p w14:paraId="34800A10">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检查传输瓶的velcro滑环等护件。</w:t>
            </w:r>
          </w:p>
        </w:tc>
      </w:tr>
      <w:tr w14:paraId="5921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vMerge w:val="restart"/>
            <w:noWrap w:val="0"/>
            <w:vAlign w:val="center"/>
          </w:tcPr>
          <w:p w14:paraId="3629A934">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系统管道和电缆等外围设备维护</w:t>
            </w:r>
          </w:p>
        </w:tc>
        <w:tc>
          <w:tcPr>
            <w:tcW w:w="6152" w:type="dxa"/>
            <w:noWrap w:val="0"/>
            <w:vAlign w:val="center"/>
          </w:tcPr>
          <w:p w14:paraId="59F206CB">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检查管道及电缆情况，保证其卫生、固定等安全不受损坏</w:t>
            </w:r>
          </w:p>
        </w:tc>
      </w:tr>
      <w:tr w14:paraId="767A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654" w:type="dxa"/>
            <w:vMerge w:val="continue"/>
            <w:noWrap w:val="0"/>
            <w:vAlign w:val="center"/>
          </w:tcPr>
          <w:p w14:paraId="7506C418">
            <w:pPr>
              <w:keepNext w:val="0"/>
              <w:keepLines w:val="0"/>
              <w:widowControl/>
              <w:suppressLineNumbers w:val="0"/>
              <w:snapToGrid w:val="0"/>
              <w:jc w:val="center"/>
              <w:rPr>
                <w:rFonts w:hint="eastAsia" w:ascii="宋体" w:hAnsi="宋体" w:eastAsia="宋体" w:cs="宋体"/>
                <w:color w:val="252525"/>
                <w:kern w:val="0"/>
                <w:sz w:val="24"/>
                <w:szCs w:val="24"/>
                <w:vertAlign w:val="baseline"/>
                <w:lang w:val="en-US" w:eastAsia="zh-CN" w:bidi="ar"/>
              </w:rPr>
            </w:pPr>
          </w:p>
        </w:tc>
        <w:tc>
          <w:tcPr>
            <w:tcW w:w="6152" w:type="dxa"/>
            <w:noWrap w:val="0"/>
            <w:vAlign w:val="center"/>
          </w:tcPr>
          <w:p w14:paraId="31B71946">
            <w:pPr>
              <w:keepNext w:val="0"/>
              <w:keepLines w:val="0"/>
              <w:widowControl/>
              <w:suppressLineNumbers w:val="0"/>
              <w:snapToGrid w:val="0"/>
              <w:jc w:val="left"/>
              <w:rPr>
                <w:rFonts w:hint="eastAsia" w:ascii="宋体" w:hAnsi="宋体" w:eastAsia="宋体" w:cs="宋体"/>
                <w:color w:val="252525"/>
                <w:kern w:val="0"/>
                <w:sz w:val="24"/>
                <w:szCs w:val="24"/>
                <w:vertAlign w:val="baseline"/>
                <w:lang w:val="en-US" w:eastAsia="zh-CN" w:bidi="ar"/>
              </w:rPr>
            </w:pPr>
            <w:r>
              <w:rPr>
                <w:rFonts w:hint="eastAsia" w:ascii="宋体" w:hAnsi="宋体" w:eastAsia="宋体" w:cs="宋体"/>
                <w:color w:val="252525"/>
                <w:kern w:val="0"/>
                <w:sz w:val="24"/>
                <w:szCs w:val="24"/>
                <w:vertAlign w:val="baseline"/>
                <w:lang w:val="en-US" w:eastAsia="zh-CN" w:bidi="ar"/>
              </w:rPr>
              <w:t>检查管道及电缆等室外安装保护情况。</w:t>
            </w:r>
          </w:p>
        </w:tc>
      </w:tr>
    </w:tbl>
    <w:p w14:paraId="6D415130">
      <w:pPr>
        <w:pStyle w:val="2"/>
        <w:rPr>
          <w:rFonts w:hint="eastAsia"/>
          <w:lang w:eastAsia="zh-CN"/>
        </w:rPr>
      </w:pPr>
    </w:p>
    <w:p w14:paraId="53F9904C">
      <w:pPr>
        <w:spacing w:line="360" w:lineRule="auto"/>
        <w:rPr>
          <w:rFonts w:hint="default" w:eastAsiaTheme="minorEastAsia"/>
          <w:sz w:val="24"/>
          <w:szCs w:val="24"/>
          <w:lang w:val="en-US" w:eastAsia="zh-CN"/>
        </w:rPr>
      </w:pPr>
      <w:r>
        <w:rPr>
          <w:rFonts w:hint="eastAsia"/>
          <w:sz w:val="24"/>
          <w:szCs w:val="24"/>
        </w:rPr>
        <w:t>二、维保</w:t>
      </w:r>
      <w:r>
        <w:rPr>
          <w:rFonts w:hint="eastAsia"/>
          <w:sz w:val="24"/>
          <w:szCs w:val="24"/>
          <w:lang w:val="en-US" w:eastAsia="zh-CN"/>
        </w:rPr>
        <w:t>方案要求</w:t>
      </w:r>
    </w:p>
    <w:p w14:paraId="48E131C2">
      <w:pPr>
        <w:spacing w:line="360" w:lineRule="auto"/>
        <w:rPr>
          <w:rFonts w:hint="eastAsia"/>
          <w:sz w:val="24"/>
          <w:szCs w:val="24"/>
        </w:rPr>
      </w:pPr>
      <w:r>
        <w:rPr>
          <w:rFonts w:hint="eastAsia"/>
          <w:sz w:val="24"/>
          <w:szCs w:val="24"/>
          <w:lang w:val="en-US" w:eastAsia="zh-CN"/>
        </w:rPr>
        <w:t>供应商可根据以下形式</w:t>
      </w:r>
      <w:r>
        <w:rPr>
          <w:rFonts w:hint="eastAsia"/>
          <w:sz w:val="24"/>
          <w:szCs w:val="24"/>
        </w:rPr>
        <w:t>提供两种维保方案：</w:t>
      </w:r>
    </w:p>
    <w:p w14:paraId="719DDF6D">
      <w:pPr>
        <w:spacing w:line="360" w:lineRule="auto"/>
        <w:rPr>
          <w:rFonts w:hint="eastAsia"/>
          <w:sz w:val="24"/>
          <w:szCs w:val="24"/>
        </w:rPr>
      </w:pPr>
      <w:r>
        <w:rPr>
          <w:rFonts w:hint="eastAsia"/>
          <w:sz w:val="24"/>
          <w:szCs w:val="24"/>
        </w:rPr>
        <w:t>方案一（不含驻点人员）</w:t>
      </w:r>
    </w:p>
    <w:p w14:paraId="52549A08">
      <w:pPr>
        <w:spacing w:line="360" w:lineRule="auto"/>
        <w:rPr>
          <w:rFonts w:hint="eastAsia"/>
          <w:sz w:val="24"/>
          <w:szCs w:val="24"/>
        </w:rPr>
      </w:pPr>
      <w:r>
        <w:rPr>
          <w:rFonts w:hint="eastAsia"/>
          <w:sz w:val="24"/>
          <w:szCs w:val="24"/>
        </w:rPr>
        <w:t>方案二（含驻点人员）</w:t>
      </w:r>
    </w:p>
    <w:p w14:paraId="77E8E59C">
      <w:pPr>
        <w:spacing w:line="360" w:lineRule="auto"/>
        <w:rPr>
          <w:rFonts w:hint="eastAsia"/>
          <w:sz w:val="24"/>
          <w:szCs w:val="24"/>
        </w:rPr>
      </w:pPr>
      <w:r>
        <w:rPr>
          <w:rFonts w:hint="eastAsia"/>
          <w:sz w:val="24"/>
          <w:szCs w:val="24"/>
        </w:rPr>
        <w:t>附：《气动物流传输系统维保</w:t>
      </w:r>
      <w:r>
        <w:rPr>
          <w:rFonts w:hint="eastAsia"/>
          <w:sz w:val="24"/>
          <w:szCs w:val="24"/>
          <w:lang w:val="en-US" w:eastAsia="zh-CN"/>
        </w:rPr>
        <w:t>报告及内容</w:t>
      </w:r>
      <w:r>
        <w:rPr>
          <w:rFonts w:hint="eastAsia"/>
          <w:sz w:val="24"/>
          <w:szCs w:val="24"/>
        </w:rPr>
        <w:t>》《易损件清单及报价》《年度维护考核表》</w:t>
      </w:r>
    </w:p>
    <w:p w14:paraId="2A3AFAF9">
      <w:pPr>
        <w:spacing w:line="360" w:lineRule="auto"/>
        <w:jc w:val="right"/>
        <w:rPr>
          <w:rFonts w:hint="eastAsia" w:ascii="宋体" w:hAnsi="宋体" w:eastAsia="宋体" w:cs="宋体"/>
          <w:sz w:val="24"/>
          <w:szCs w:val="24"/>
        </w:rPr>
      </w:pPr>
    </w:p>
    <w:p w14:paraId="79A665D8">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755F1049">
      <w:pPr>
        <w:spacing w:line="36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附件一：</w:t>
      </w:r>
      <w:r>
        <w:rPr>
          <w:rFonts w:hint="eastAsia" w:ascii="宋体" w:hAnsi="宋体" w:eastAsia="宋体" w:cs="宋体"/>
          <w:sz w:val="24"/>
          <w:szCs w:val="24"/>
        </w:rPr>
        <w:t>《气动物流传输系统维保</w:t>
      </w:r>
      <w:r>
        <w:rPr>
          <w:rFonts w:hint="eastAsia" w:ascii="宋体" w:hAnsi="宋体" w:eastAsia="宋体" w:cs="宋体"/>
          <w:sz w:val="24"/>
          <w:szCs w:val="24"/>
          <w:lang w:val="en-US" w:eastAsia="zh-CN"/>
        </w:rPr>
        <w:t>报告及内容</w:t>
      </w:r>
      <w:r>
        <w:rPr>
          <w:rFonts w:hint="eastAsia" w:ascii="宋体" w:hAnsi="宋体" w:eastAsia="宋体" w:cs="宋体"/>
          <w:sz w:val="24"/>
          <w:szCs w:val="24"/>
        </w:rPr>
        <w:t>》</w:t>
      </w:r>
    </w:p>
    <w:p w14:paraId="139B65D7">
      <w:pPr>
        <w:spacing w:line="360" w:lineRule="auto"/>
        <w:ind w:firstLine="420" w:firstLineChars="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1、项目介绍</w:t>
      </w:r>
    </w:p>
    <w:p w14:paraId="32C2CA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上饶市人民医院并联PVC气动物流传输系统主要配置：站点59套，风机6套，转换器34套`，传输瓶118个，PVC管道约3000米。</w:t>
      </w:r>
    </w:p>
    <w:tbl>
      <w:tblPr>
        <w:tblStyle w:val="4"/>
        <w:tblW w:w="6203" w:type="pct"/>
        <w:tblInd w:w="-10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9"/>
        <w:gridCol w:w="1903"/>
        <w:gridCol w:w="1526"/>
        <w:gridCol w:w="1671"/>
        <w:gridCol w:w="2090"/>
        <w:gridCol w:w="723"/>
        <w:gridCol w:w="940"/>
        <w:gridCol w:w="839"/>
      </w:tblGrid>
      <w:tr w14:paraId="0EDCA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4D7C9363">
            <w:pPr>
              <w:keepNext w:val="0"/>
              <w:keepLines w:val="0"/>
              <w:widowControl/>
              <w:suppressLineNumbers w:val="0"/>
              <w:jc w:val="center"/>
              <w:textAlignment w:val="center"/>
              <w:rPr>
                <w:rFonts w:hint="default" w:ascii="等线" w:hAnsi="等线" w:eastAsia="等线" w:cs="等线"/>
                <w:b/>
                <w:bCs/>
                <w:i w:val="0"/>
                <w:iCs w:val="0"/>
                <w:color w:val="000000"/>
                <w:sz w:val="36"/>
                <w:szCs w:val="36"/>
                <w:u w:val="none"/>
                <w:lang w:val="en-US"/>
              </w:rPr>
            </w:pPr>
            <w:r>
              <w:rPr>
                <w:rFonts w:hint="eastAsia" w:ascii="等线" w:hAnsi="等线" w:eastAsia="等线" w:cs="等线"/>
                <w:b/>
                <w:bCs/>
                <w:i w:val="0"/>
                <w:iCs w:val="0"/>
                <w:color w:val="000000"/>
                <w:kern w:val="0"/>
                <w:sz w:val="36"/>
                <w:szCs w:val="36"/>
                <w:u w:val="none"/>
                <w:lang w:val="en-US" w:eastAsia="zh-CN" w:bidi="ar"/>
              </w:rPr>
              <w:t>上饶市人民医院城北院区</w:t>
            </w:r>
          </w:p>
        </w:tc>
      </w:tr>
      <w:tr w14:paraId="3C206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5000" w:type="pct"/>
            <w:gridSpan w:val="8"/>
            <w:tcBorders>
              <w:top w:val="single" w:color="000000" w:sz="4" w:space="0"/>
              <w:left w:val="single" w:color="000000" w:sz="4" w:space="0"/>
              <w:bottom w:val="single" w:color="000000" w:sz="4" w:space="0"/>
              <w:right w:val="single" w:color="000000" w:sz="4" w:space="0"/>
            </w:tcBorders>
            <w:noWrap/>
            <w:vAlign w:val="center"/>
          </w:tcPr>
          <w:p w14:paraId="423419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气动物流站点列表</w:t>
            </w:r>
          </w:p>
        </w:tc>
      </w:tr>
      <w:tr w14:paraId="10EEB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15" w:type="pct"/>
            <w:tcBorders>
              <w:top w:val="single" w:color="000000" w:sz="4" w:space="0"/>
              <w:left w:val="single" w:color="000000" w:sz="4" w:space="0"/>
              <w:bottom w:val="single" w:color="000000" w:sz="4" w:space="0"/>
              <w:right w:val="single" w:color="000000" w:sz="4" w:space="0"/>
            </w:tcBorders>
            <w:noWrap/>
            <w:vAlign w:val="center"/>
          </w:tcPr>
          <w:p w14:paraId="74A0038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楼层</w:t>
            </w:r>
          </w:p>
        </w:tc>
        <w:tc>
          <w:tcPr>
            <w:tcW w:w="900" w:type="pct"/>
            <w:tcBorders>
              <w:top w:val="single" w:color="000000" w:sz="4" w:space="0"/>
              <w:left w:val="single" w:color="000000" w:sz="4" w:space="0"/>
              <w:bottom w:val="single" w:color="000000" w:sz="4" w:space="0"/>
              <w:right w:val="nil"/>
            </w:tcBorders>
            <w:noWrap/>
            <w:vAlign w:val="center"/>
          </w:tcPr>
          <w:p w14:paraId="1C4624F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住院A区</w:t>
            </w:r>
          </w:p>
        </w:tc>
        <w:tc>
          <w:tcPr>
            <w:tcW w:w="721" w:type="pct"/>
            <w:tcBorders>
              <w:top w:val="single" w:color="000000" w:sz="4" w:space="0"/>
              <w:left w:val="single" w:color="000000" w:sz="4" w:space="0"/>
              <w:bottom w:val="single" w:color="000000" w:sz="4" w:space="0"/>
              <w:right w:val="nil"/>
            </w:tcBorders>
            <w:noWrap/>
            <w:vAlign w:val="center"/>
          </w:tcPr>
          <w:p w14:paraId="2AF7881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住院C区</w:t>
            </w:r>
          </w:p>
        </w:tc>
        <w:tc>
          <w:tcPr>
            <w:tcW w:w="790" w:type="pct"/>
            <w:tcBorders>
              <w:top w:val="single" w:color="000000" w:sz="4" w:space="0"/>
              <w:left w:val="single" w:color="000000" w:sz="4" w:space="0"/>
              <w:bottom w:val="single" w:color="000000" w:sz="4" w:space="0"/>
              <w:right w:val="single" w:color="000000" w:sz="4" w:space="0"/>
            </w:tcBorders>
            <w:noWrap/>
            <w:vAlign w:val="center"/>
          </w:tcPr>
          <w:p w14:paraId="3F83CEC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门诊医技B区</w:t>
            </w:r>
          </w:p>
        </w:tc>
        <w:tc>
          <w:tcPr>
            <w:tcW w:w="1330" w:type="pct"/>
            <w:gridSpan w:val="2"/>
            <w:tcBorders>
              <w:top w:val="single" w:color="000000" w:sz="4" w:space="0"/>
              <w:left w:val="single" w:color="000000" w:sz="4" w:space="0"/>
              <w:bottom w:val="single" w:color="000000" w:sz="4" w:space="0"/>
              <w:right w:val="single" w:color="000000" w:sz="4" w:space="0"/>
            </w:tcBorders>
            <w:noWrap/>
            <w:vAlign w:val="center"/>
          </w:tcPr>
          <w:p w14:paraId="15E23DE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门诊医技D区</w:t>
            </w:r>
          </w:p>
        </w:tc>
        <w:tc>
          <w:tcPr>
            <w:tcW w:w="444" w:type="pct"/>
            <w:tcBorders>
              <w:top w:val="single" w:color="000000" w:sz="4" w:space="0"/>
              <w:left w:val="nil"/>
              <w:bottom w:val="single" w:color="000000" w:sz="4" w:space="0"/>
              <w:right w:val="single" w:color="000000" w:sz="4" w:space="0"/>
            </w:tcBorders>
            <w:noWrap/>
            <w:vAlign w:val="center"/>
          </w:tcPr>
          <w:p w14:paraId="0FC795A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后勤楼</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406828A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站点数量</w:t>
            </w:r>
          </w:p>
        </w:tc>
      </w:tr>
      <w:tr w14:paraId="05F23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10B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7~20F</w:t>
            </w:r>
          </w:p>
        </w:tc>
        <w:tc>
          <w:tcPr>
            <w:tcW w:w="9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0E51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标准护士站</w:t>
            </w:r>
          </w:p>
        </w:tc>
        <w:tc>
          <w:tcPr>
            <w:tcW w:w="7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38266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标准护士站</w:t>
            </w:r>
          </w:p>
        </w:tc>
        <w:tc>
          <w:tcPr>
            <w:tcW w:w="790" w:type="pct"/>
            <w:tcBorders>
              <w:top w:val="single" w:color="000000" w:sz="4" w:space="0"/>
              <w:left w:val="single" w:color="000000" w:sz="4" w:space="0"/>
              <w:bottom w:val="single" w:color="000000" w:sz="4" w:space="0"/>
              <w:right w:val="single" w:color="000000" w:sz="4" w:space="0"/>
            </w:tcBorders>
            <w:noWrap/>
            <w:vAlign w:val="center"/>
          </w:tcPr>
          <w:p w14:paraId="72EE0A33">
            <w:pPr>
              <w:jc w:val="center"/>
              <w:rPr>
                <w:rFonts w:hint="eastAsia" w:ascii="等线" w:hAnsi="等线" w:eastAsia="等线" w:cs="等线"/>
                <w:i w:val="0"/>
                <w:iCs w:val="0"/>
                <w:color w:val="000000"/>
                <w:sz w:val="22"/>
                <w:szCs w:val="22"/>
                <w:u w:val="none"/>
              </w:rPr>
            </w:pPr>
          </w:p>
        </w:tc>
        <w:tc>
          <w:tcPr>
            <w:tcW w:w="988" w:type="pct"/>
            <w:tcBorders>
              <w:top w:val="single" w:color="000000" w:sz="4" w:space="0"/>
              <w:left w:val="single" w:color="000000" w:sz="4" w:space="0"/>
              <w:bottom w:val="single" w:color="000000" w:sz="4" w:space="0"/>
              <w:right w:val="single" w:color="000000" w:sz="4" w:space="0"/>
            </w:tcBorders>
            <w:noWrap/>
            <w:vAlign w:val="center"/>
          </w:tcPr>
          <w:p w14:paraId="3E93B4B6">
            <w:pPr>
              <w:jc w:val="center"/>
              <w:rPr>
                <w:rFonts w:hint="eastAsia" w:ascii="等线" w:hAnsi="等线" w:eastAsia="等线" w:cs="等线"/>
                <w:i w:val="0"/>
                <w:iCs w:val="0"/>
                <w:color w:val="000000"/>
                <w:sz w:val="22"/>
                <w:szCs w:val="22"/>
                <w:u w:val="none"/>
              </w:rPr>
            </w:pPr>
          </w:p>
        </w:tc>
        <w:tc>
          <w:tcPr>
            <w:tcW w:w="342" w:type="pct"/>
            <w:tcBorders>
              <w:top w:val="single" w:color="000000" w:sz="4" w:space="0"/>
              <w:left w:val="single" w:color="000000" w:sz="4" w:space="0"/>
              <w:bottom w:val="single" w:color="000000" w:sz="4" w:space="0"/>
              <w:right w:val="single" w:color="000000" w:sz="4" w:space="0"/>
            </w:tcBorders>
            <w:noWrap/>
            <w:vAlign w:val="center"/>
          </w:tcPr>
          <w:p w14:paraId="629E2C77">
            <w:pPr>
              <w:jc w:val="center"/>
              <w:rPr>
                <w:rFonts w:hint="eastAsia" w:ascii="等线" w:hAnsi="等线" w:eastAsia="等线" w:cs="等线"/>
                <w:i w:val="0"/>
                <w:iCs w:val="0"/>
                <w:color w:val="000000"/>
                <w:sz w:val="22"/>
                <w:szCs w:val="22"/>
                <w:u w:val="none"/>
              </w:rPr>
            </w:pP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49977BFE">
            <w:pPr>
              <w:jc w:val="center"/>
              <w:rPr>
                <w:rFonts w:hint="eastAsia" w:ascii="等线" w:hAnsi="等线" w:eastAsia="等线" w:cs="等线"/>
                <w:i w:val="0"/>
                <w:iCs w:val="0"/>
                <w:color w:val="000000"/>
                <w:sz w:val="22"/>
                <w:szCs w:val="22"/>
                <w:u w:val="none"/>
              </w:rPr>
            </w:pPr>
          </w:p>
        </w:tc>
        <w:tc>
          <w:tcPr>
            <w:tcW w:w="396" w:type="pct"/>
            <w:tcBorders>
              <w:top w:val="single" w:color="000000" w:sz="4" w:space="0"/>
              <w:left w:val="single" w:color="000000" w:sz="4" w:space="0"/>
              <w:bottom w:val="single" w:color="000000" w:sz="4" w:space="0"/>
              <w:right w:val="single" w:color="000000" w:sz="4" w:space="0"/>
            </w:tcBorders>
            <w:noWrap/>
            <w:vAlign w:val="center"/>
          </w:tcPr>
          <w:p w14:paraId="703690E8">
            <w:pPr>
              <w:keepNext w:val="0"/>
              <w:keepLines w:val="0"/>
              <w:widowControl/>
              <w:suppressLineNumbers w:val="0"/>
              <w:jc w:val="center"/>
              <w:textAlignment w:val="center"/>
              <w:rPr>
                <w:rFonts w:hint="default" w:ascii="等线" w:hAnsi="等线" w:eastAsia="等线" w:cs="等线"/>
                <w:i w:val="0"/>
                <w:iCs w:val="0"/>
                <w:color w:val="000000"/>
                <w:sz w:val="22"/>
                <w:szCs w:val="22"/>
                <w:u w:val="none"/>
                <w:lang w:val="en-US"/>
              </w:rPr>
            </w:pPr>
            <w:r>
              <w:rPr>
                <w:rFonts w:hint="eastAsia" w:ascii="等线" w:hAnsi="等线" w:eastAsia="等线" w:cs="等线"/>
                <w:i w:val="0"/>
                <w:iCs w:val="0"/>
                <w:color w:val="000000"/>
                <w:kern w:val="0"/>
                <w:sz w:val="22"/>
                <w:szCs w:val="22"/>
                <w:u w:val="none"/>
                <w:lang w:val="en-US" w:eastAsia="zh-CN" w:bidi="ar"/>
              </w:rPr>
              <w:t>28</w:t>
            </w:r>
          </w:p>
        </w:tc>
      </w:tr>
      <w:tr w14:paraId="269D7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2CD1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6F</w:t>
            </w:r>
          </w:p>
        </w:tc>
        <w:tc>
          <w:tcPr>
            <w:tcW w:w="9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CB5FE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神经科ICU</w:t>
            </w:r>
          </w:p>
        </w:tc>
        <w:tc>
          <w:tcPr>
            <w:tcW w:w="7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96175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产科护理单元</w:t>
            </w:r>
          </w:p>
        </w:tc>
        <w:tc>
          <w:tcPr>
            <w:tcW w:w="7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91678">
            <w:pPr>
              <w:jc w:val="center"/>
              <w:rPr>
                <w:rFonts w:hint="eastAsia" w:ascii="等线" w:hAnsi="等线" w:eastAsia="等线" w:cs="等线"/>
                <w:i w:val="0"/>
                <w:iCs w:val="0"/>
                <w:color w:val="000000"/>
                <w:sz w:val="22"/>
                <w:szCs w:val="22"/>
                <w:u w:val="none"/>
              </w:rPr>
            </w:pPr>
          </w:p>
        </w:tc>
        <w:tc>
          <w:tcPr>
            <w:tcW w:w="9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F44A85">
            <w:pPr>
              <w:jc w:val="center"/>
              <w:rPr>
                <w:rFonts w:hint="eastAsia" w:ascii="等线" w:hAnsi="等线" w:eastAsia="等线" w:cs="等线"/>
                <w:i w:val="0"/>
                <w:iCs w:val="0"/>
                <w:color w:val="000000"/>
                <w:sz w:val="22"/>
                <w:szCs w:val="22"/>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B5B04A">
            <w:pPr>
              <w:jc w:val="center"/>
              <w:rPr>
                <w:rFonts w:hint="eastAsia" w:ascii="等线" w:hAnsi="等线" w:eastAsia="等线" w:cs="等线"/>
                <w:i w:val="0"/>
                <w:iCs w:val="0"/>
                <w:color w:val="000000"/>
                <w:sz w:val="22"/>
                <w:szCs w:val="22"/>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F90BF">
            <w:pPr>
              <w:jc w:val="center"/>
              <w:rPr>
                <w:rFonts w:hint="eastAsia" w:ascii="等线" w:hAnsi="等线" w:eastAsia="等线" w:cs="等线"/>
                <w:i w:val="0"/>
                <w:iCs w:val="0"/>
                <w:color w:val="000000"/>
                <w:sz w:val="22"/>
                <w:szCs w:val="22"/>
                <w:u w:val="none"/>
              </w:rPr>
            </w:pPr>
          </w:p>
        </w:tc>
        <w:tc>
          <w:tcPr>
            <w:tcW w:w="396" w:type="pct"/>
            <w:tcBorders>
              <w:top w:val="single" w:color="000000" w:sz="4" w:space="0"/>
              <w:left w:val="single" w:color="000000" w:sz="4" w:space="0"/>
              <w:bottom w:val="single" w:color="000000" w:sz="4" w:space="0"/>
              <w:right w:val="single" w:color="000000" w:sz="4" w:space="0"/>
            </w:tcBorders>
            <w:noWrap/>
            <w:vAlign w:val="center"/>
          </w:tcPr>
          <w:p w14:paraId="6781D0C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r>
      <w:tr w14:paraId="7F81F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ABA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5F</w:t>
            </w:r>
          </w:p>
        </w:tc>
        <w:tc>
          <w:tcPr>
            <w:tcW w:w="9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55865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神经外科</w:t>
            </w:r>
          </w:p>
          <w:p w14:paraId="0A47B1C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护理单元</w:t>
            </w:r>
          </w:p>
        </w:tc>
        <w:tc>
          <w:tcPr>
            <w:tcW w:w="7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B1A19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产科</w:t>
            </w:r>
          </w:p>
          <w:p w14:paraId="6FCE123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护理单元</w:t>
            </w:r>
          </w:p>
        </w:tc>
        <w:tc>
          <w:tcPr>
            <w:tcW w:w="7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FEF23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血库+病理科</w:t>
            </w:r>
          </w:p>
        </w:tc>
        <w:tc>
          <w:tcPr>
            <w:tcW w:w="9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9A7818">
            <w:pPr>
              <w:jc w:val="center"/>
              <w:rPr>
                <w:rFonts w:hint="eastAsia" w:ascii="等线" w:hAnsi="等线" w:eastAsia="等线" w:cs="等线"/>
                <w:i w:val="0"/>
                <w:iCs w:val="0"/>
                <w:color w:val="000000"/>
                <w:sz w:val="22"/>
                <w:szCs w:val="22"/>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355C23">
            <w:pPr>
              <w:jc w:val="center"/>
              <w:rPr>
                <w:rFonts w:hint="eastAsia" w:ascii="等线" w:hAnsi="等线" w:eastAsia="等线" w:cs="等线"/>
                <w:i w:val="0"/>
                <w:iCs w:val="0"/>
                <w:color w:val="000000"/>
                <w:sz w:val="22"/>
                <w:szCs w:val="22"/>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77BE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康复科</w:t>
            </w:r>
          </w:p>
        </w:tc>
        <w:tc>
          <w:tcPr>
            <w:tcW w:w="396" w:type="pct"/>
            <w:tcBorders>
              <w:top w:val="single" w:color="000000" w:sz="4" w:space="0"/>
              <w:left w:val="single" w:color="000000" w:sz="4" w:space="0"/>
              <w:bottom w:val="single" w:color="000000" w:sz="4" w:space="0"/>
              <w:right w:val="single" w:color="000000" w:sz="4" w:space="0"/>
            </w:tcBorders>
            <w:noWrap/>
            <w:vAlign w:val="center"/>
          </w:tcPr>
          <w:p w14:paraId="3236541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r>
      <w:tr w14:paraId="4F962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ABA4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4F</w:t>
            </w:r>
          </w:p>
        </w:tc>
        <w:tc>
          <w:tcPr>
            <w:tcW w:w="9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B90BF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泌外科</w:t>
            </w:r>
          </w:p>
          <w:p w14:paraId="2B2FE56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护理单元</w:t>
            </w:r>
          </w:p>
        </w:tc>
        <w:tc>
          <w:tcPr>
            <w:tcW w:w="7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588FE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分娩中心</w:t>
            </w:r>
          </w:p>
        </w:tc>
        <w:tc>
          <w:tcPr>
            <w:tcW w:w="7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92825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手术中心（洁）+手术中心（污）</w:t>
            </w:r>
          </w:p>
        </w:tc>
        <w:tc>
          <w:tcPr>
            <w:tcW w:w="9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AF677D">
            <w:pPr>
              <w:jc w:val="center"/>
              <w:rPr>
                <w:rFonts w:hint="eastAsia" w:ascii="等线" w:hAnsi="等线" w:eastAsia="等线" w:cs="等线"/>
                <w:i w:val="0"/>
                <w:iCs w:val="0"/>
                <w:color w:val="000000"/>
                <w:sz w:val="22"/>
                <w:szCs w:val="22"/>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DFF8E">
            <w:pPr>
              <w:jc w:val="center"/>
              <w:rPr>
                <w:rFonts w:hint="eastAsia" w:ascii="等线" w:hAnsi="等线" w:eastAsia="等线" w:cs="等线"/>
                <w:i w:val="0"/>
                <w:iCs w:val="0"/>
                <w:color w:val="000000"/>
                <w:sz w:val="22"/>
                <w:szCs w:val="22"/>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295ACF">
            <w:pPr>
              <w:jc w:val="center"/>
              <w:rPr>
                <w:rFonts w:hint="eastAsia" w:ascii="等线" w:hAnsi="等线" w:eastAsia="等线" w:cs="等线"/>
                <w:i w:val="0"/>
                <w:iCs w:val="0"/>
                <w:color w:val="000000"/>
                <w:sz w:val="22"/>
                <w:szCs w:val="22"/>
                <w:u w:val="none"/>
              </w:rPr>
            </w:pPr>
          </w:p>
        </w:tc>
        <w:tc>
          <w:tcPr>
            <w:tcW w:w="396" w:type="pct"/>
            <w:tcBorders>
              <w:top w:val="single" w:color="000000" w:sz="4" w:space="0"/>
              <w:left w:val="single" w:color="000000" w:sz="4" w:space="0"/>
              <w:bottom w:val="single" w:color="000000" w:sz="4" w:space="0"/>
              <w:right w:val="single" w:color="000000" w:sz="4" w:space="0"/>
            </w:tcBorders>
            <w:noWrap/>
            <w:vAlign w:val="center"/>
          </w:tcPr>
          <w:p w14:paraId="72A8CB4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r>
      <w:tr w14:paraId="1C790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B5DF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3F</w:t>
            </w:r>
          </w:p>
        </w:tc>
        <w:tc>
          <w:tcPr>
            <w:tcW w:w="9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AC06E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肾内科</w:t>
            </w:r>
          </w:p>
          <w:p w14:paraId="4B74701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护理单元</w:t>
            </w:r>
          </w:p>
        </w:tc>
        <w:tc>
          <w:tcPr>
            <w:tcW w:w="7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69A17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NICU</w:t>
            </w:r>
          </w:p>
        </w:tc>
        <w:tc>
          <w:tcPr>
            <w:tcW w:w="7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9DDB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ICU+血透</w:t>
            </w:r>
          </w:p>
        </w:tc>
        <w:tc>
          <w:tcPr>
            <w:tcW w:w="988" w:type="pct"/>
            <w:tcBorders>
              <w:top w:val="nil"/>
              <w:left w:val="nil"/>
              <w:bottom w:val="nil"/>
              <w:right w:val="single" w:color="000000" w:sz="4" w:space="0"/>
            </w:tcBorders>
            <w:noWrap/>
            <w:vAlign w:val="bottom"/>
          </w:tcPr>
          <w:p w14:paraId="2846CC33">
            <w:pPr>
              <w:rPr>
                <w:rFonts w:hint="eastAsia" w:ascii="等线" w:hAnsi="等线" w:eastAsia="等线" w:cs="等线"/>
                <w:i w:val="0"/>
                <w:iCs w:val="0"/>
                <w:color w:val="000000"/>
                <w:sz w:val="22"/>
                <w:szCs w:val="22"/>
                <w:u w:val="none"/>
              </w:rPr>
            </w:pPr>
          </w:p>
        </w:tc>
        <w:tc>
          <w:tcPr>
            <w:tcW w:w="342" w:type="pct"/>
            <w:tcBorders>
              <w:top w:val="single" w:color="000000" w:sz="4" w:space="0"/>
              <w:left w:val="single" w:color="000000" w:sz="4" w:space="0"/>
              <w:bottom w:val="single" w:color="000000" w:sz="4" w:space="0"/>
              <w:right w:val="single" w:color="000000" w:sz="4" w:space="0"/>
            </w:tcBorders>
            <w:noWrap/>
            <w:vAlign w:val="bottom"/>
          </w:tcPr>
          <w:p w14:paraId="20023C4F">
            <w:pPr>
              <w:rPr>
                <w:rFonts w:hint="eastAsia" w:ascii="等线" w:hAnsi="等线" w:eastAsia="等线" w:cs="等线"/>
                <w:i w:val="0"/>
                <w:iCs w:val="0"/>
                <w:color w:val="000000"/>
                <w:sz w:val="22"/>
                <w:szCs w:val="22"/>
                <w:u w:val="none"/>
              </w:rPr>
            </w:pPr>
          </w:p>
        </w:tc>
        <w:tc>
          <w:tcPr>
            <w:tcW w:w="444" w:type="pct"/>
            <w:tcBorders>
              <w:top w:val="single" w:color="000000" w:sz="4" w:space="0"/>
              <w:left w:val="single" w:color="000000" w:sz="4" w:space="0"/>
              <w:bottom w:val="single" w:color="000000" w:sz="4" w:space="0"/>
              <w:right w:val="single" w:color="000000" w:sz="4" w:space="0"/>
            </w:tcBorders>
            <w:noWrap/>
            <w:vAlign w:val="bottom"/>
          </w:tcPr>
          <w:p w14:paraId="7E4D95FB">
            <w:pPr>
              <w:rPr>
                <w:rFonts w:hint="eastAsia" w:ascii="等线" w:hAnsi="等线" w:eastAsia="等线" w:cs="等线"/>
                <w:i w:val="0"/>
                <w:iCs w:val="0"/>
                <w:color w:val="000000"/>
                <w:sz w:val="22"/>
                <w:szCs w:val="22"/>
                <w:u w:val="none"/>
              </w:rPr>
            </w:pPr>
          </w:p>
        </w:tc>
        <w:tc>
          <w:tcPr>
            <w:tcW w:w="396" w:type="pct"/>
            <w:tcBorders>
              <w:top w:val="single" w:color="000000" w:sz="4" w:space="0"/>
              <w:left w:val="single" w:color="000000" w:sz="4" w:space="0"/>
              <w:bottom w:val="single" w:color="000000" w:sz="4" w:space="0"/>
              <w:right w:val="single" w:color="000000" w:sz="4" w:space="0"/>
            </w:tcBorders>
            <w:noWrap/>
            <w:vAlign w:val="center"/>
          </w:tcPr>
          <w:p w14:paraId="0808791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r>
      <w:tr w14:paraId="64393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D83B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2F</w:t>
            </w:r>
          </w:p>
        </w:tc>
        <w:tc>
          <w:tcPr>
            <w:tcW w:w="9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C8A31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病区药房1+病区药库2+病区药房3</w:t>
            </w:r>
          </w:p>
        </w:tc>
        <w:tc>
          <w:tcPr>
            <w:tcW w:w="72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F1844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静配中心</w:t>
            </w:r>
          </w:p>
        </w:tc>
        <w:tc>
          <w:tcPr>
            <w:tcW w:w="7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A1481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检验科1+2</w:t>
            </w:r>
          </w:p>
        </w:tc>
        <w:tc>
          <w:tcPr>
            <w:tcW w:w="9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94E88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急诊病区</w:t>
            </w:r>
          </w:p>
        </w:tc>
        <w:tc>
          <w:tcPr>
            <w:tcW w:w="3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0A923">
            <w:pPr>
              <w:jc w:val="center"/>
              <w:rPr>
                <w:rFonts w:hint="eastAsia" w:ascii="等线" w:hAnsi="等线" w:eastAsia="等线" w:cs="等线"/>
                <w:i w:val="0"/>
                <w:iCs w:val="0"/>
                <w:color w:val="000000"/>
                <w:sz w:val="22"/>
                <w:szCs w:val="22"/>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9BEF2C">
            <w:pPr>
              <w:jc w:val="center"/>
              <w:rPr>
                <w:rFonts w:hint="eastAsia" w:ascii="等线" w:hAnsi="等线" w:eastAsia="等线" w:cs="等线"/>
                <w:i w:val="0"/>
                <w:iCs w:val="0"/>
                <w:color w:val="000000"/>
                <w:sz w:val="22"/>
                <w:szCs w:val="22"/>
                <w:u w:val="none"/>
              </w:rPr>
            </w:pPr>
          </w:p>
        </w:tc>
        <w:tc>
          <w:tcPr>
            <w:tcW w:w="396" w:type="pct"/>
            <w:tcBorders>
              <w:top w:val="single" w:color="000000" w:sz="4" w:space="0"/>
              <w:left w:val="single" w:color="000000" w:sz="4" w:space="0"/>
              <w:bottom w:val="single" w:color="000000" w:sz="4" w:space="0"/>
              <w:right w:val="single" w:color="000000" w:sz="4" w:space="0"/>
            </w:tcBorders>
            <w:noWrap/>
            <w:vAlign w:val="center"/>
          </w:tcPr>
          <w:p w14:paraId="510F47C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r>
      <w:tr w14:paraId="30775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DA7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1F</w:t>
            </w:r>
          </w:p>
        </w:tc>
        <w:tc>
          <w:tcPr>
            <w:tcW w:w="9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8265DD">
            <w:pPr>
              <w:jc w:val="center"/>
              <w:rPr>
                <w:rFonts w:hint="eastAsia" w:ascii="等线" w:hAnsi="等线" w:eastAsia="等线" w:cs="等线"/>
                <w:i w:val="0"/>
                <w:iCs w:val="0"/>
                <w:color w:val="000000"/>
                <w:sz w:val="22"/>
                <w:szCs w:val="22"/>
                <w:u w:val="none"/>
              </w:rPr>
            </w:pPr>
          </w:p>
        </w:tc>
        <w:tc>
          <w:tcPr>
            <w:tcW w:w="7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BEDCB4">
            <w:pPr>
              <w:jc w:val="center"/>
              <w:rPr>
                <w:rFonts w:hint="eastAsia" w:ascii="等线" w:hAnsi="等线" w:eastAsia="等线" w:cs="等线"/>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B08CB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内窥镜中心</w:t>
            </w:r>
          </w:p>
        </w:tc>
        <w:tc>
          <w:tcPr>
            <w:tcW w:w="9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F35D3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EICU+急诊抢救+急诊化验+急诊输液+急诊输液+急诊药房</w:t>
            </w:r>
          </w:p>
        </w:tc>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88F1D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儿科</w:t>
            </w:r>
          </w:p>
          <w:p w14:paraId="471A09F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化验</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45A61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创伤</w:t>
            </w:r>
          </w:p>
          <w:p w14:paraId="71A642B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中心</w:t>
            </w:r>
          </w:p>
        </w:tc>
        <w:tc>
          <w:tcPr>
            <w:tcW w:w="396" w:type="pct"/>
            <w:tcBorders>
              <w:top w:val="single" w:color="000000" w:sz="4" w:space="0"/>
              <w:left w:val="single" w:color="000000" w:sz="4" w:space="0"/>
              <w:bottom w:val="single" w:color="000000" w:sz="4" w:space="0"/>
              <w:right w:val="single" w:color="000000" w:sz="4" w:space="0"/>
            </w:tcBorders>
            <w:noWrap/>
            <w:vAlign w:val="center"/>
          </w:tcPr>
          <w:p w14:paraId="7DD472E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r>
      <w:tr w14:paraId="51C06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603" w:type="pct"/>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60B4B">
            <w:pPr>
              <w:keepNext w:val="0"/>
              <w:keepLines w:val="0"/>
              <w:widowControl/>
              <w:suppressLineNumbers w:val="0"/>
              <w:jc w:val="center"/>
              <w:textAlignment w:val="center"/>
              <w:rPr>
                <w:rFonts w:hint="default" w:ascii="等线" w:hAnsi="等线" w:eastAsia="等线" w:cs="等线"/>
                <w:i w:val="0"/>
                <w:iCs w:val="0"/>
                <w:color w:val="000000"/>
                <w:sz w:val="22"/>
                <w:szCs w:val="22"/>
                <w:u w:val="none"/>
                <w:lang w:val="en-US"/>
              </w:rPr>
            </w:pPr>
            <w:r>
              <w:rPr>
                <w:rFonts w:hint="eastAsia" w:ascii="等线" w:hAnsi="等线" w:eastAsia="等线" w:cs="等线"/>
                <w:i w:val="0"/>
                <w:iCs w:val="0"/>
                <w:color w:val="000000"/>
                <w:kern w:val="0"/>
                <w:sz w:val="22"/>
                <w:szCs w:val="22"/>
                <w:u w:val="none"/>
                <w:lang w:val="en-US" w:eastAsia="zh-CN" w:bidi="ar"/>
              </w:rPr>
              <w:t>站点数量共计（套）：</w:t>
            </w:r>
          </w:p>
        </w:tc>
        <w:tc>
          <w:tcPr>
            <w:tcW w:w="396" w:type="pct"/>
            <w:tcBorders>
              <w:top w:val="single" w:color="000000" w:sz="4" w:space="0"/>
              <w:left w:val="single" w:color="000000" w:sz="4" w:space="0"/>
              <w:bottom w:val="nil"/>
              <w:right w:val="single" w:color="000000" w:sz="4" w:space="0"/>
            </w:tcBorders>
            <w:shd w:val="clear" w:color="auto" w:fill="BFBFBF"/>
            <w:noWrap/>
            <w:vAlign w:val="center"/>
          </w:tcPr>
          <w:p w14:paraId="148D63A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59</w:t>
            </w:r>
          </w:p>
        </w:tc>
      </w:tr>
    </w:tbl>
    <w:p w14:paraId="140DF42A">
      <w:pPr>
        <w:spacing w:line="360" w:lineRule="auto"/>
        <w:jc w:val="both"/>
        <w:rPr>
          <w:rFonts w:hint="eastAsia"/>
          <w:sz w:val="24"/>
          <w:szCs w:val="24"/>
        </w:rPr>
      </w:pPr>
    </w:p>
    <w:p w14:paraId="7D950DE6">
      <w:pPr>
        <w:pStyle w:val="2"/>
        <w:rPr>
          <w:rFonts w:hint="eastAsia"/>
          <w:sz w:val="24"/>
          <w:szCs w:val="24"/>
        </w:rPr>
      </w:pPr>
    </w:p>
    <w:p w14:paraId="28B58AAA">
      <w:pPr>
        <w:rPr>
          <w:rFonts w:hint="eastAsia"/>
          <w:sz w:val="24"/>
          <w:szCs w:val="24"/>
        </w:rPr>
      </w:pPr>
    </w:p>
    <w:p w14:paraId="290C0384">
      <w:pPr>
        <w:pStyle w:val="2"/>
        <w:rPr>
          <w:rFonts w:hint="eastAsia"/>
          <w:sz w:val="24"/>
          <w:szCs w:val="24"/>
        </w:rPr>
      </w:pPr>
    </w:p>
    <w:p w14:paraId="68EFD2C8">
      <w:pPr>
        <w:pStyle w:val="2"/>
        <w:ind w:left="0" w:leftChars="0" w:firstLine="0" w:firstLineChars="0"/>
        <w:rPr>
          <w:rFonts w:hint="eastAsia"/>
          <w:sz w:val="24"/>
          <w:szCs w:val="24"/>
        </w:rPr>
      </w:pPr>
    </w:p>
    <w:p w14:paraId="393FEC60">
      <w:pPr>
        <w:rPr>
          <w:rFonts w:hint="eastAsia"/>
          <w:sz w:val="24"/>
          <w:szCs w:val="24"/>
        </w:rPr>
      </w:pPr>
    </w:p>
    <w:p w14:paraId="23EE83A9">
      <w:pPr>
        <w:pStyle w:val="2"/>
        <w:rPr>
          <w:rFonts w:hint="eastAsia"/>
        </w:rPr>
      </w:pPr>
    </w:p>
    <w:p w14:paraId="2C424843">
      <w:pPr>
        <w:numPr>
          <w:ilvl w:val="0"/>
          <w:numId w:val="1"/>
        </w:numPr>
        <w:spacing w:line="360" w:lineRule="auto"/>
        <w:ind w:firstLine="420" w:firstLineChars="0"/>
        <w:jc w:val="left"/>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运行现状</w:t>
      </w:r>
    </w:p>
    <w:p w14:paraId="42888B14">
      <w:pPr>
        <w:numPr>
          <w:ilvl w:val="0"/>
          <w:numId w:val="0"/>
        </w:numPr>
        <w:spacing w:line="360" w:lineRule="auto"/>
        <w:jc w:val="left"/>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据系统使用情况统计，目前项目使用趋于饱和，月传收发量约2.5万次/月。</w:t>
      </w:r>
    </w:p>
    <w:p w14:paraId="74B817BD">
      <w:pPr>
        <w:numPr>
          <w:ilvl w:val="0"/>
          <w:numId w:val="0"/>
        </w:numPr>
        <w:spacing w:line="360" w:lineRule="auto"/>
        <w:jc w:val="left"/>
      </w:pPr>
      <w:r>
        <w:drawing>
          <wp:inline distT="0" distB="0" distL="114300" distR="114300">
            <wp:extent cx="5467985" cy="1818640"/>
            <wp:effectExtent l="0" t="0" r="889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467985" cy="1818640"/>
                    </a:xfrm>
                    <a:prstGeom prst="rect">
                      <a:avLst/>
                    </a:prstGeom>
                    <a:noFill/>
                    <a:ln>
                      <a:noFill/>
                    </a:ln>
                  </pic:spPr>
                </pic:pic>
              </a:graphicData>
            </a:graphic>
          </wp:inline>
        </w:drawing>
      </w:r>
    </w:p>
    <w:p w14:paraId="3A66FE24">
      <w:pPr>
        <w:numPr>
          <w:ilvl w:val="0"/>
          <w:numId w:val="0"/>
        </w:numPr>
        <w:spacing w:line="360" w:lineRule="auto"/>
        <w:jc w:val="left"/>
        <w:rPr>
          <w:rFonts w:hint="eastAsia"/>
          <w:lang w:val="en-US" w:eastAsia="zh-CN"/>
        </w:rPr>
      </w:pPr>
    </w:p>
    <w:p w14:paraId="1C4D3D6C">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2024年6月1日至2025年5月31日总传输量为：312235。</w:t>
      </w:r>
    </w:p>
    <w:p w14:paraId="725C06C4">
      <w:pPr>
        <w:numPr>
          <w:ilvl w:val="0"/>
          <w:numId w:val="0"/>
        </w:numPr>
        <w:spacing w:line="360" w:lineRule="auto"/>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55920" cy="245745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455920" cy="2457450"/>
                    </a:xfrm>
                    <a:prstGeom prst="rect">
                      <a:avLst/>
                    </a:prstGeom>
                    <a:noFill/>
                    <a:ln>
                      <a:noFill/>
                    </a:ln>
                  </pic:spPr>
                </pic:pic>
              </a:graphicData>
            </a:graphic>
          </wp:inline>
        </w:drawing>
      </w:r>
    </w:p>
    <w:p w14:paraId="7BA67A93">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重点使用科室为：住院药房、急症检验、检验科、产科、消化内科科、重症医学科等传输量相对较多。</w:t>
      </w:r>
    </w:p>
    <w:p w14:paraId="4EE6C99D">
      <w:pPr>
        <w:numPr>
          <w:ilvl w:val="0"/>
          <w:numId w:val="0"/>
        </w:numPr>
        <w:spacing w:line="360" w:lineRule="auto"/>
        <w:jc w:val="left"/>
      </w:pPr>
      <w:r>
        <w:drawing>
          <wp:inline distT="0" distB="0" distL="114300" distR="114300">
            <wp:extent cx="5469255" cy="3479165"/>
            <wp:effectExtent l="0" t="0" r="762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469255" cy="3479165"/>
                    </a:xfrm>
                    <a:prstGeom prst="rect">
                      <a:avLst/>
                    </a:prstGeom>
                    <a:noFill/>
                    <a:ln>
                      <a:noFill/>
                    </a:ln>
                  </pic:spPr>
                </pic:pic>
              </a:graphicData>
            </a:graphic>
          </wp:inline>
        </w:drawing>
      </w:r>
      <w:r>
        <w:drawing>
          <wp:inline distT="0" distB="0" distL="114300" distR="114300">
            <wp:extent cx="5467985" cy="3415665"/>
            <wp:effectExtent l="0" t="0" r="889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467985" cy="3415665"/>
                    </a:xfrm>
                    <a:prstGeom prst="rect">
                      <a:avLst/>
                    </a:prstGeom>
                    <a:noFill/>
                    <a:ln>
                      <a:noFill/>
                    </a:ln>
                  </pic:spPr>
                </pic:pic>
              </a:graphicData>
            </a:graphic>
          </wp:inline>
        </w:drawing>
      </w:r>
      <w:r>
        <w:drawing>
          <wp:inline distT="0" distB="0" distL="114300" distR="114300">
            <wp:extent cx="5468620" cy="347662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468620" cy="3476625"/>
                    </a:xfrm>
                    <a:prstGeom prst="rect">
                      <a:avLst/>
                    </a:prstGeom>
                    <a:noFill/>
                    <a:ln>
                      <a:noFill/>
                    </a:ln>
                  </pic:spPr>
                </pic:pic>
              </a:graphicData>
            </a:graphic>
          </wp:inline>
        </w:drawing>
      </w:r>
    </w:p>
    <w:p w14:paraId="176F1764">
      <w:pPr>
        <w:numPr>
          <w:ilvl w:val="0"/>
          <w:numId w:val="0"/>
        </w:numPr>
        <w:spacing w:line="360" w:lineRule="auto"/>
        <w:jc w:val="left"/>
        <w:rPr>
          <w:rFonts w:hint="eastAsia"/>
          <w:lang w:val="en-US" w:eastAsia="zh-CN"/>
        </w:rPr>
      </w:pPr>
      <w:r>
        <w:drawing>
          <wp:inline distT="0" distB="0" distL="114300" distR="114300">
            <wp:extent cx="5471160" cy="3474085"/>
            <wp:effectExtent l="0" t="0" r="571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471160" cy="3474085"/>
                    </a:xfrm>
                    <a:prstGeom prst="rect">
                      <a:avLst/>
                    </a:prstGeom>
                    <a:noFill/>
                    <a:ln>
                      <a:noFill/>
                    </a:ln>
                  </pic:spPr>
                </pic:pic>
              </a:graphicData>
            </a:graphic>
          </wp:inline>
        </w:drawing>
      </w:r>
      <w:r>
        <w:drawing>
          <wp:inline distT="0" distB="0" distL="114300" distR="114300">
            <wp:extent cx="5466715" cy="344805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466715" cy="3448050"/>
                    </a:xfrm>
                    <a:prstGeom prst="rect">
                      <a:avLst/>
                    </a:prstGeom>
                    <a:noFill/>
                    <a:ln>
                      <a:noFill/>
                    </a:ln>
                  </pic:spPr>
                </pic:pic>
              </a:graphicData>
            </a:graphic>
          </wp:inline>
        </w:drawing>
      </w:r>
      <w:r>
        <w:drawing>
          <wp:inline distT="0" distB="0" distL="114300" distR="114300">
            <wp:extent cx="5466715" cy="3431540"/>
            <wp:effectExtent l="0" t="0" r="635" b="698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a:stretch>
                      <a:fillRect/>
                    </a:stretch>
                  </pic:blipFill>
                  <pic:spPr>
                    <a:xfrm>
                      <a:off x="0" y="0"/>
                      <a:ext cx="5466715" cy="3431540"/>
                    </a:xfrm>
                    <a:prstGeom prst="rect">
                      <a:avLst/>
                    </a:prstGeom>
                    <a:noFill/>
                    <a:ln>
                      <a:noFill/>
                    </a:ln>
                  </pic:spPr>
                </pic:pic>
              </a:graphicData>
            </a:graphic>
          </wp:inline>
        </w:drawing>
      </w:r>
    </w:p>
    <w:p w14:paraId="1F8ED647">
      <w:pPr>
        <w:numPr>
          <w:ilvl w:val="0"/>
          <w:numId w:val="0"/>
        </w:numPr>
        <w:spacing w:line="360" w:lineRule="auto"/>
        <w:jc w:val="left"/>
        <w:rPr>
          <w:rFonts w:hint="eastAsia"/>
          <w:lang w:val="en-US" w:eastAsia="zh-CN"/>
        </w:rPr>
      </w:pPr>
    </w:p>
    <w:p w14:paraId="5D8E464F">
      <w:pPr>
        <w:numPr>
          <w:ilvl w:val="0"/>
          <w:numId w:val="0"/>
        </w:numPr>
        <w:spacing w:line="360" w:lineRule="auto"/>
        <w:jc w:val="left"/>
        <w:rPr>
          <w:rFonts w:hint="eastAsia"/>
          <w:lang w:val="en-US" w:eastAsia="zh-CN"/>
        </w:rPr>
      </w:pPr>
    </w:p>
    <w:p w14:paraId="3807CA57">
      <w:pPr>
        <w:numPr>
          <w:ilvl w:val="0"/>
          <w:numId w:val="0"/>
        </w:numPr>
        <w:spacing w:line="360" w:lineRule="auto"/>
        <w:jc w:val="left"/>
        <w:rPr>
          <w:rFonts w:hint="eastAsia"/>
          <w:lang w:val="en-US" w:eastAsia="zh-CN"/>
        </w:rPr>
      </w:pPr>
    </w:p>
    <w:p w14:paraId="5D5389F5">
      <w:pPr>
        <w:numPr>
          <w:ilvl w:val="0"/>
          <w:numId w:val="0"/>
        </w:numPr>
        <w:spacing w:line="360" w:lineRule="auto"/>
        <w:jc w:val="left"/>
        <w:rPr>
          <w:rFonts w:hint="eastAsia"/>
          <w:lang w:val="en-US" w:eastAsia="zh-CN"/>
        </w:rPr>
      </w:pPr>
    </w:p>
    <w:p w14:paraId="1B8817D2">
      <w:pPr>
        <w:numPr>
          <w:ilvl w:val="0"/>
          <w:numId w:val="0"/>
        </w:numPr>
        <w:spacing w:line="360" w:lineRule="auto"/>
        <w:jc w:val="left"/>
        <w:rPr>
          <w:rFonts w:hint="eastAsia"/>
          <w:lang w:val="en-US" w:eastAsia="zh-CN"/>
        </w:rPr>
      </w:pPr>
    </w:p>
    <w:p w14:paraId="55CC21AB">
      <w:pPr>
        <w:numPr>
          <w:ilvl w:val="0"/>
          <w:numId w:val="0"/>
        </w:numPr>
        <w:spacing w:line="360" w:lineRule="auto"/>
        <w:jc w:val="left"/>
        <w:rPr>
          <w:rFonts w:hint="eastAsia"/>
          <w:lang w:val="en-US" w:eastAsia="zh-CN"/>
        </w:rPr>
      </w:pPr>
    </w:p>
    <w:p w14:paraId="7D60BFF1">
      <w:pPr>
        <w:numPr>
          <w:ilvl w:val="0"/>
          <w:numId w:val="0"/>
        </w:numPr>
        <w:spacing w:line="360" w:lineRule="auto"/>
        <w:jc w:val="left"/>
        <w:rPr>
          <w:rFonts w:hint="eastAsia" w:ascii="宋体" w:hAnsi="宋体" w:eastAsia="宋体" w:cs="宋体"/>
          <w:b/>
          <w:bCs/>
          <w:color w:val="auto"/>
          <w:sz w:val="24"/>
          <w:szCs w:val="24"/>
          <w:lang w:val="en-US" w:eastAsia="zh-CN"/>
        </w:rPr>
      </w:pPr>
      <w:r>
        <w:rPr>
          <w:rFonts w:hint="eastAsia" w:ascii="宋体" w:hAnsi="宋体" w:eastAsia="宋体" w:cs="宋体"/>
          <w:sz w:val="24"/>
          <w:szCs w:val="24"/>
          <w:lang w:val="en-US" w:eastAsia="zh-CN"/>
        </w:rPr>
        <w:t>系统单次传输时长基本在 3分钟 左右，任务排队时间 ＜1分钟 ，全时间段传输时长基本较为稳定。</w:t>
      </w:r>
    </w:p>
    <w:p w14:paraId="37F16E2C">
      <w:pPr>
        <w:spacing w:line="360" w:lineRule="auto"/>
        <w:ind w:firstLine="420" w:firstLineChars="0"/>
        <w:jc w:val="left"/>
        <w:rPr>
          <w:rFonts w:hint="eastAsia" w:ascii="宋体" w:hAnsi="宋体" w:eastAsia="宋体" w:cs="宋体"/>
          <w:b/>
          <w:bCs/>
          <w:color w:val="auto"/>
          <w:sz w:val="24"/>
          <w:szCs w:val="24"/>
          <w:lang w:val="en-US" w:eastAsia="zh-CN"/>
        </w:rPr>
      </w:pPr>
      <w:r>
        <w:rPr>
          <w:sz w:val="24"/>
          <w:szCs w:val="24"/>
        </w:rPr>
        <w:drawing>
          <wp:anchor distT="0" distB="0" distL="114300" distR="114300" simplePos="0" relativeHeight="251659264" behindDoc="0" locked="0" layoutInCell="1" allowOverlap="1">
            <wp:simplePos x="0" y="0"/>
            <wp:positionH relativeFrom="column">
              <wp:posOffset>-859155</wp:posOffset>
            </wp:positionH>
            <wp:positionV relativeFrom="paragraph">
              <wp:posOffset>69850</wp:posOffset>
            </wp:positionV>
            <wp:extent cx="7196455" cy="2515235"/>
            <wp:effectExtent l="0" t="0" r="4445" b="8890"/>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7196455" cy="2515235"/>
                    </a:xfrm>
                    <a:prstGeom prst="rect">
                      <a:avLst/>
                    </a:prstGeom>
                    <a:noFill/>
                    <a:ln>
                      <a:noFill/>
                    </a:ln>
                  </pic:spPr>
                </pic:pic>
              </a:graphicData>
            </a:graphic>
          </wp:anchor>
        </w:drawing>
      </w:r>
    </w:p>
    <w:p w14:paraId="3A940329">
      <w:pPr>
        <w:spacing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系统传输高峰期为 9:00-12:00、15:00-18:00，9:00-12:00 最为集中，占全时间段的 23%</w:t>
      </w:r>
    </w:p>
    <w:p w14:paraId="780288E6">
      <w:pPr>
        <w:spacing w:line="360" w:lineRule="auto"/>
        <w:ind w:firstLine="420" w:firstLineChars="0"/>
        <w:jc w:val="left"/>
        <w:rPr>
          <w:rFonts w:hint="eastAsia" w:ascii="宋体" w:hAnsi="宋体" w:eastAsia="宋体" w:cs="宋体"/>
          <w:b/>
          <w:bCs/>
          <w:color w:val="auto"/>
          <w:sz w:val="24"/>
          <w:lang w:val="en-US" w:eastAsia="zh-CN"/>
        </w:rPr>
      </w:pPr>
      <w:r>
        <w:drawing>
          <wp:anchor distT="0" distB="0" distL="114300" distR="114300" simplePos="0" relativeHeight="251660288" behindDoc="0" locked="0" layoutInCell="1" allowOverlap="1">
            <wp:simplePos x="0" y="0"/>
            <wp:positionH relativeFrom="column">
              <wp:posOffset>7620</wp:posOffset>
            </wp:positionH>
            <wp:positionV relativeFrom="paragraph">
              <wp:posOffset>140335</wp:posOffset>
            </wp:positionV>
            <wp:extent cx="5471160" cy="3451225"/>
            <wp:effectExtent l="0" t="0" r="5715" b="6350"/>
            <wp:wrapSquare wrapText="bothSides"/>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5471160" cy="3451225"/>
                    </a:xfrm>
                    <a:prstGeom prst="rect">
                      <a:avLst/>
                    </a:prstGeom>
                    <a:noFill/>
                    <a:ln>
                      <a:noFill/>
                    </a:ln>
                  </pic:spPr>
                </pic:pic>
              </a:graphicData>
            </a:graphic>
          </wp:anchor>
        </w:drawing>
      </w:r>
    </w:p>
    <w:p w14:paraId="6A9242AD">
      <w:pPr>
        <w:spacing w:line="360" w:lineRule="auto"/>
        <w:ind w:firstLine="420" w:firstLineChars="0"/>
        <w:jc w:val="left"/>
        <w:rPr>
          <w:rFonts w:hint="eastAsia" w:ascii="宋体" w:hAnsi="宋体" w:eastAsia="宋体" w:cs="宋体"/>
          <w:b/>
          <w:bCs/>
          <w:color w:val="auto"/>
          <w:sz w:val="24"/>
          <w:lang w:val="en-US" w:eastAsia="zh-CN"/>
        </w:rPr>
      </w:pPr>
    </w:p>
    <w:p w14:paraId="63F7FD08">
      <w:pPr>
        <w:spacing w:line="360" w:lineRule="auto"/>
        <w:ind w:firstLine="420" w:firstLineChars="0"/>
        <w:jc w:val="left"/>
        <w:rPr>
          <w:rFonts w:hint="eastAsia" w:ascii="宋体" w:hAnsi="宋体" w:eastAsia="宋体" w:cs="宋体"/>
          <w:b/>
          <w:bCs/>
          <w:color w:val="auto"/>
          <w:sz w:val="24"/>
          <w:lang w:val="en-US" w:eastAsia="zh-CN"/>
        </w:rPr>
      </w:pPr>
    </w:p>
    <w:p w14:paraId="44F132C3">
      <w:pPr>
        <w:spacing w:line="360" w:lineRule="auto"/>
        <w:ind w:firstLine="420" w:firstLineChars="0"/>
        <w:jc w:val="left"/>
        <w:rPr>
          <w:rFonts w:hint="eastAsia" w:ascii="宋体" w:hAnsi="宋体" w:eastAsia="宋体" w:cs="宋体"/>
          <w:b/>
          <w:bCs/>
          <w:color w:val="auto"/>
          <w:sz w:val="24"/>
          <w:lang w:val="en-US" w:eastAsia="zh-CN"/>
        </w:rPr>
      </w:pPr>
    </w:p>
    <w:p w14:paraId="2CB9F93D">
      <w:pPr>
        <w:spacing w:line="360" w:lineRule="auto"/>
        <w:jc w:val="left"/>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系统故障及原因：气动物流传输系统故障率＜1%，主要因为传输瓶摩擦圈磨损严重导致卡瓶，故障报警次数累加导致</w:t>
      </w:r>
    </w:p>
    <w:tbl>
      <w:tblPr>
        <w:tblStyle w:val="4"/>
        <w:tblW w:w="88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45" w:type="dxa"/>
          <w:left w:w="96" w:type="dxa"/>
          <w:bottom w:w="45" w:type="dxa"/>
          <w:right w:w="96" w:type="dxa"/>
        </w:tblCellMar>
      </w:tblPr>
      <w:tblGrid>
        <w:gridCol w:w="3400"/>
        <w:gridCol w:w="2715"/>
        <w:gridCol w:w="2691"/>
      </w:tblGrid>
      <w:tr w14:paraId="654F2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tblHeader/>
          <w:jc w:val="center"/>
        </w:trPr>
        <w:tc>
          <w:tcPr>
            <w:tcW w:w="3400" w:type="dxa"/>
            <w:tcBorders>
              <w:top w:val="single" w:color="FFFFFF" w:sz="2" w:space="0"/>
              <w:left w:val="single" w:color="FFFFFF" w:sz="2" w:space="0"/>
              <w:bottom w:val="single" w:color="FFFFFF" w:sz="8" w:space="0"/>
              <w:right w:val="single" w:color="FFFFFF" w:sz="2" w:space="0"/>
            </w:tcBorders>
            <w:shd w:val="clear" w:color="auto" w:fill="431961"/>
            <w:noWrap w:val="0"/>
            <w:vAlign w:val="center"/>
          </w:tcPr>
          <w:p w14:paraId="760B9B3E">
            <w:pPr>
              <w:pStyle w:val="3"/>
              <w:keepNext w:val="0"/>
              <w:keepLines w:val="0"/>
              <w:widowControl/>
              <w:suppressLineNumbers w:val="0"/>
              <w:kinsoku/>
              <w:wordWrap/>
              <w:overflowPunct/>
              <w:snapToGrid w:val="0"/>
              <w:jc w:val="center"/>
              <w:rPr>
                <w:rFonts w:hint="eastAsia" w:ascii="Calibri" w:eastAsia="宋体"/>
                <w:b/>
                <w:sz w:val="24"/>
                <w:lang w:eastAsia="zh-CN"/>
              </w:rPr>
            </w:pPr>
            <w:r>
              <w:rPr>
                <w:rFonts w:hint="eastAsia" w:ascii="Calibri" w:eastAsia="宋体"/>
                <w:b/>
                <w:bCs/>
                <w:color w:val="FFFFFF"/>
                <w:sz w:val="24"/>
                <w:szCs w:val="24"/>
                <w:lang w:eastAsia="zh-CN"/>
              </w:rPr>
              <w:t>月份</w:t>
            </w:r>
          </w:p>
        </w:tc>
        <w:tc>
          <w:tcPr>
            <w:tcW w:w="2715" w:type="dxa"/>
            <w:tcBorders>
              <w:top w:val="single" w:color="FFFFFF" w:sz="2" w:space="0"/>
              <w:left w:val="single" w:color="FFFFFF" w:sz="2" w:space="0"/>
              <w:bottom w:val="single" w:color="FFFFFF" w:sz="8" w:space="0"/>
              <w:right w:val="single" w:color="FFFFFF" w:sz="2" w:space="0"/>
            </w:tcBorders>
            <w:shd w:val="clear" w:color="auto" w:fill="431961"/>
            <w:noWrap w:val="0"/>
            <w:vAlign w:val="center"/>
          </w:tcPr>
          <w:p w14:paraId="470D7105">
            <w:pPr>
              <w:pStyle w:val="3"/>
              <w:keepNext w:val="0"/>
              <w:keepLines w:val="0"/>
              <w:widowControl/>
              <w:suppressLineNumbers w:val="0"/>
              <w:kinsoku/>
              <w:wordWrap/>
              <w:overflowPunct/>
              <w:snapToGrid w:val="0"/>
              <w:jc w:val="center"/>
              <w:rPr>
                <w:rFonts w:hint="eastAsia" w:ascii="Calibri" w:eastAsia="宋体"/>
                <w:b/>
                <w:sz w:val="24"/>
                <w:lang w:eastAsia="zh-CN"/>
              </w:rPr>
            </w:pPr>
            <w:r>
              <w:rPr>
                <w:rFonts w:hint="eastAsia" w:ascii="Calibri" w:eastAsia="宋体"/>
                <w:b/>
                <w:bCs/>
                <w:color w:val="FFFFFF"/>
                <w:sz w:val="24"/>
                <w:szCs w:val="24"/>
                <w:lang w:eastAsia="zh-CN"/>
              </w:rPr>
              <w:t>传输次数</w:t>
            </w:r>
          </w:p>
        </w:tc>
        <w:tc>
          <w:tcPr>
            <w:tcW w:w="2691" w:type="dxa"/>
            <w:tcBorders>
              <w:top w:val="single" w:color="FFFFFF" w:sz="2" w:space="0"/>
              <w:left w:val="single" w:color="FFFFFF" w:sz="2" w:space="0"/>
              <w:bottom w:val="single" w:color="FFFFFF" w:sz="8" w:space="0"/>
              <w:right w:val="single" w:color="FFFFFF" w:sz="2" w:space="0"/>
            </w:tcBorders>
            <w:shd w:val="clear" w:color="auto" w:fill="431961"/>
            <w:noWrap w:val="0"/>
            <w:vAlign w:val="center"/>
          </w:tcPr>
          <w:p w14:paraId="5319087C">
            <w:pPr>
              <w:pStyle w:val="3"/>
              <w:keepNext w:val="0"/>
              <w:keepLines w:val="0"/>
              <w:widowControl/>
              <w:suppressLineNumbers w:val="0"/>
              <w:kinsoku/>
              <w:wordWrap/>
              <w:overflowPunct/>
              <w:snapToGrid w:val="0"/>
              <w:jc w:val="center"/>
              <w:rPr>
                <w:rFonts w:hint="eastAsia" w:ascii="Calibri" w:eastAsia="宋体"/>
                <w:b/>
                <w:sz w:val="24"/>
                <w:lang w:eastAsia="zh-CN"/>
              </w:rPr>
            </w:pPr>
            <w:r>
              <w:rPr>
                <w:rFonts w:hint="eastAsia" w:ascii="Calibri" w:eastAsia="宋体"/>
                <w:b/>
                <w:bCs/>
                <w:color w:val="FFFFFF"/>
                <w:sz w:val="24"/>
                <w:szCs w:val="24"/>
                <w:lang w:eastAsia="zh-CN"/>
              </w:rPr>
              <w:t>故障次数</w:t>
            </w:r>
          </w:p>
        </w:tc>
      </w:tr>
      <w:tr w14:paraId="663DC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jc w:val="center"/>
        </w:trPr>
        <w:tc>
          <w:tcPr>
            <w:tcW w:w="3400"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0FD6A789">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2025年1月</w:t>
            </w:r>
          </w:p>
        </w:tc>
        <w:tc>
          <w:tcPr>
            <w:tcW w:w="2715"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5F5C30DB">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27237</w:t>
            </w:r>
          </w:p>
        </w:tc>
        <w:tc>
          <w:tcPr>
            <w:tcW w:w="2691"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7F196F3C">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251</w:t>
            </w:r>
          </w:p>
        </w:tc>
      </w:tr>
      <w:tr w14:paraId="462A2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jc w:val="center"/>
        </w:trPr>
        <w:tc>
          <w:tcPr>
            <w:tcW w:w="3400"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0B93027E">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2025年2月</w:t>
            </w:r>
          </w:p>
        </w:tc>
        <w:tc>
          <w:tcPr>
            <w:tcW w:w="2715"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428A7C6A">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24688</w:t>
            </w:r>
          </w:p>
        </w:tc>
        <w:tc>
          <w:tcPr>
            <w:tcW w:w="2691"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4B9586F7">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268</w:t>
            </w:r>
          </w:p>
        </w:tc>
      </w:tr>
      <w:tr w14:paraId="12EF6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jc w:val="center"/>
        </w:trPr>
        <w:tc>
          <w:tcPr>
            <w:tcW w:w="3400"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339F84FC">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2025年3月</w:t>
            </w:r>
          </w:p>
        </w:tc>
        <w:tc>
          <w:tcPr>
            <w:tcW w:w="2715"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632018E9">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25485</w:t>
            </w:r>
          </w:p>
        </w:tc>
        <w:tc>
          <w:tcPr>
            <w:tcW w:w="2691"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51583567">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240</w:t>
            </w:r>
          </w:p>
        </w:tc>
      </w:tr>
      <w:tr w14:paraId="5FE4E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jc w:val="center"/>
        </w:trPr>
        <w:tc>
          <w:tcPr>
            <w:tcW w:w="3400"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59F343A0">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2025年4月</w:t>
            </w:r>
          </w:p>
        </w:tc>
        <w:tc>
          <w:tcPr>
            <w:tcW w:w="2715"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20424682">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24787</w:t>
            </w:r>
          </w:p>
        </w:tc>
        <w:tc>
          <w:tcPr>
            <w:tcW w:w="2691"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3A35F572">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227</w:t>
            </w:r>
          </w:p>
        </w:tc>
      </w:tr>
      <w:tr w14:paraId="1C3E3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jc w:val="center"/>
        </w:trPr>
        <w:tc>
          <w:tcPr>
            <w:tcW w:w="3400"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7DF64880">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2025年5月</w:t>
            </w:r>
          </w:p>
        </w:tc>
        <w:tc>
          <w:tcPr>
            <w:tcW w:w="2715"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21B20B75">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25177</w:t>
            </w:r>
          </w:p>
        </w:tc>
        <w:tc>
          <w:tcPr>
            <w:tcW w:w="2691"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419B48E6">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277</w:t>
            </w:r>
          </w:p>
        </w:tc>
      </w:tr>
      <w:tr w14:paraId="7D8F4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jc w:val="center"/>
        </w:trPr>
        <w:tc>
          <w:tcPr>
            <w:tcW w:w="3400"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1255CC55">
            <w:pPr>
              <w:pStyle w:val="3"/>
              <w:keepNext w:val="0"/>
              <w:keepLines w:val="0"/>
              <w:widowControl/>
              <w:suppressLineNumbers w:val="0"/>
              <w:kinsoku/>
              <w:wordWrap/>
              <w:overflowPunct/>
              <w:snapToGrid w:val="0"/>
              <w:jc w:val="center"/>
              <w:rPr>
                <w:rFonts w:ascii="Calibri" w:eastAsia="宋体"/>
                <w:b/>
                <w:sz w:val="24"/>
              </w:rPr>
            </w:pPr>
            <w:r>
              <w:rPr>
                <w:rFonts w:ascii="Calibri" w:eastAsia="宋体"/>
                <w:b/>
                <w:bCs/>
                <w:color w:val="000000"/>
                <w:sz w:val="24"/>
                <w:szCs w:val="32"/>
              </w:rPr>
              <w:t>合计</w:t>
            </w:r>
          </w:p>
        </w:tc>
        <w:tc>
          <w:tcPr>
            <w:tcW w:w="2715"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51801788">
            <w:pPr>
              <w:pStyle w:val="3"/>
              <w:keepNext w:val="0"/>
              <w:keepLines w:val="0"/>
              <w:widowControl/>
              <w:suppressLineNumbers w:val="0"/>
              <w:kinsoku/>
              <w:wordWrap/>
              <w:overflowPunct/>
              <w:snapToGrid w:val="0"/>
              <w:jc w:val="center"/>
              <w:rPr>
                <w:rFonts w:ascii="Calibri" w:eastAsia="宋体"/>
                <w:b/>
                <w:sz w:val="24"/>
              </w:rPr>
            </w:pPr>
            <w:r>
              <w:rPr>
                <w:rFonts w:ascii="Calibri" w:eastAsia="宋体"/>
                <w:b/>
                <w:bCs/>
                <w:color w:val="000000"/>
                <w:sz w:val="24"/>
                <w:szCs w:val="32"/>
              </w:rPr>
              <w:t>127374</w:t>
            </w:r>
          </w:p>
        </w:tc>
        <w:tc>
          <w:tcPr>
            <w:tcW w:w="2691"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6802D253">
            <w:pPr>
              <w:pStyle w:val="3"/>
              <w:keepNext w:val="0"/>
              <w:keepLines w:val="0"/>
              <w:widowControl/>
              <w:suppressLineNumbers w:val="0"/>
              <w:kinsoku/>
              <w:wordWrap/>
              <w:overflowPunct/>
              <w:snapToGrid w:val="0"/>
              <w:jc w:val="center"/>
              <w:rPr>
                <w:rFonts w:ascii="Calibri" w:eastAsia="宋体"/>
                <w:b/>
                <w:sz w:val="24"/>
              </w:rPr>
            </w:pPr>
            <w:r>
              <w:rPr>
                <w:rFonts w:ascii="Calibri" w:eastAsia="宋体"/>
                <w:b/>
                <w:bCs/>
                <w:color w:val="000000"/>
                <w:sz w:val="24"/>
                <w:szCs w:val="32"/>
              </w:rPr>
              <w:t>1263</w:t>
            </w:r>
          </w:p>
        </w:tc>
      </w:tr>
    </w:tbl>
    <w:p w14:paraId="4674E4DC">
      <w:pPr>
        <w:spacing w:line="360" w:lineRule="auto"/>
        <w:jc w:val="left"/>
        <w:rPr>
          <w:rFonts w:hint="eastAsia" w:ascii="宋体" w:hAnsi="宋体" w:eastAsia="宋体" w:cs="宋体"/>
          <w:b/>
          <w:bCs/>
          <w:color w:val="auto"/>
          <w:sz w:val="24"/>
          <w:lang w:val="en-US" w:eastAsia="zh-CN"/>
        </w:rPr>
      </w:pPr>
    </w:p>
    <w:p w14:paraId="49AF74EC">
      <w:pPr>
        <w:spacing w:line="360" w:lineRule="auto"/>
        <w:jc w:val="left"/>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具体故障类型统计：（因传输瓶摩擦圈损坏引起系统的故障，占比约为85%）</w:t>
      </w:r>
    </w:p>
    <w:tbl>
      <w:tblPr>
        <w:tblStyle w:val="4"/>
        <w:tblW w:w="918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45" w:type="dxa"/>
          <w:left w:w="96" w:type="dxa"/>
          <w:bottom w:w="45" w:type="dxa"/>
          <w:right w:w="96" w:type="dxa"/>
        </w:tblCellMar>
      </w:tblPr>
      <w:tblGrid>
        <w:gridCol w:w="1675"/>
        <w:gridCol w:w="874"/>
        <w:gridCol w:w="3966"/>
        <w:gridCol w:w="2674"/>
      </w:tblGrid>
      <w:tr w14:paraId="1AFC7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tblHeader/>
          <w:jc w:val="center"/>
        </w:trPr>
        <w:tc>
          <w:tcPr>
            <w:tcW w:w="1675" w:type="dxa"/>
            <w:tcBorders>
              <w:top w:val="single" w:color="FFFFFF" w:sz="2" w:space="0"/>
              <w:left w:val="single" w:color="FFFFFF" w:sz="2" w:space="0"/>
              <w:bottom w:val="single" w:color="FFFFFF" w:sz="8" w:space="0"/>
              <w:right w:val="single" w:color="FFFFFF" w:sz="2" w:space="0"/>
            </w:tcBorders>
            <w:shd w:val="clear" w:color="auto" w:fill="431961"/>
            <w:noWrap w:val="0"/>
            <w:vAlign w:val="center"/>
          </w:tcPr>
          <w:p w14:paraId="696D3C21">
            <w:pPr>
              <w:pStyle w:val="3"/>
              <w:keepNext w:val="0"/>
              <w:keepLines w:val="0"/>
              <w:widowControl/>
              <w:suppressLineNumbers w:val="0"/>
              <w:kinsoku/>
              <w:wordWrap/>
              <w:overflowPunct/>
              <w:snapToGrid w:val="0"/>
              <w:jc w:val="center"/>
              <w:rPr>
                <w:rFonts w:hint="eastAsia" w:ascii="Calibri" w:eastAsia="宋体"/>
                <w:b/>
                <w:sz w:val="28"/>
                <w:lang w:eastAsia="zh-CN"/>
              </w:rPr>
            </w:pPr>
            <w:r>
              <w:rPr>
                <w:rFonts w:hint="eastAsia" w:ascii="Calibri" w:eastAsia="宋体"/>
                <w:b/>
                <w:bCs/>
                <w:color w:val="FFFFFF"/>
                <w:sz w:val="28"/>
                <w:szCs w:val="28"/>
                <w:lang w:eastAsia="zh-CN"/>
              </w:rPr>
              <w:t>异常类型</w:t>
            </w:r>
          </w:p>
        </w:tc>
        <w:tc>
          <w:tcPr>
            <w:tcW w:w="874" w:type="dxa"/>
            <w:tcBorders>
              <w:top w:val="single" w:color="FFFFFF" w:sz="2" w:space="0"/>
              <w:left w:val="single" w:color="FFFFFF" w:sz="2" w:space="0"/>
              <w:bottom w:val="single" w:color="FFFFFF" w:sz="8" w:space="0"/>
              <w:right w:val="single" w:color="FFFFFF" w:sz="2" w:space="0"/>
            </w:tcBorders>
            <w:shd w:val="clear" w:color="auto" w:fill="431961"/>
            <w:noWrap w:val="0"/>
            <w:vAlign w:val="center"/>
          </w:tcPr>
          <w:p w14:paraId="22CDFFE7">
            <w:pPr>
              <w:pStyle w:val="3"/>
              <w:keepNext w:val="0"/>
              <w:keepLines w:val="0"/>
              <w:widowControl/>
              <w:suppressLineNumbers w:val="0"/>
              <w:kinsoku/>
              <w:wordWrap/>
              <w:overflowPunct/>
              <w:snapToGrid w:val="0"/>
              <w:jc w:val="center"/>
              <w:rPr>
                <w:rFonts w:hint="eastAsia" w:ascii="Calibri" w:eastAsia="宋体"/>
                <w:b/>
                <w:sz w:val="28"/>
                <w:lang w:eastAsia="zh-CN"/>
              </w:rPr>
            </w:pPr>
            <w:r>
              <w:rPr>
                <w:rFonts w:hint="eastAsia" w:ascii="Calibri" w:eastAsia="宋体"/>
                <w:b/>
                <w:bCs/>
                <w:color w:val="FFFFFF"/>
                <w:sz w:val="28"/>
                <w:szCs w:val="28"/>
                <w:lang w:eastAsia="zh-CN"/>
              </w:rPr>
              <w:t>次数</w:t>
            </w:r>
          </w:p>
        </w:tc>
        <w:tc>
          <w:tcPr>
            <w:tcW w:w="3966" w:type="dxa"/>
            <w:tcBorders>
              <w:top w:val="single" w:color="FFFFFF" w:sz="2" w:space="0"/>
              <w:left w:val="single" w:color="FFFFFF" w:sz="2" w:space="0"/>
              <w:bottom w:val="single" w:color="FFFFFF" w:sz="8" w:space="0"/>
              <w:right w:val="single" w:color="FFFFFF" w:sz="2" w:space="0"/>
            </w:tcBorders>
            <w:shd w:val="clear" w:color="auto" w:fill="431961"/>
            <w:noWrap w:val="0"/>
            <w:vAlign w:val="center"/>
          </w:tcPr>
          <w:p w14:paraId="3455FADF">
            <w:pPr>
              <w:pStyle w:val="3"/>
              <w:keepNext w:val="0"/>
              <w:keepLines w:val="0"/>
              <w:widowControl/>
              <w:suppressLineNumbers w:val="0"/>
              <w:kinsoku/>
              <w:wordWrap/>
              <w:overflowPunct/>
              <w:snapToGrid w:val="0"/>
              <w:jc w:val="center"/>
              <w:rPr>
                <w:rFonts w:hint="eastAsia" w:ascii="Calibri" w:eastAsia="宋体"/>
                <w:b/>
                <w:sz w:val="28"/>
                <w:lang w:eastAsia="zh-CN"/>
              </w:rPr>
            </w:pPr>
            <w:r>
              <w:rPr>
                <w:rFonts w:hint="eastAsia" w:ascii="Calibri" w:eastAsia="宋体"/>
                <w:b/>
                <w:bCs/>
                <w:color w:val="FFFFFF"/>
                <w:sz w:val="28"/>
                <w:szCs w:val="28"/>
                <w:lang w:eastAsia="zh-CN"/>
              </w:rPr>
              <w:t>异常原因</w:t>
            </w:r>
          </w:p>
        </w:tc>
        <w:tc>
          <w:tcPr>
            <w:tcW w:w="2674" w:type="dxa"/>
            <w:tcBorders>
              <w:top w:val="single" w:color="FFFFFF" w:sz="2" w:space="0"/>
              <w:left w:val="single" w:color="FFFFFF" w:sz="2" w:space="0"/>
              <w:bottom w:val="single" w:color="FFFFFF" w:sz="8" w:space="0"/>
              <w:right w:val="single" w:color="FFFFFF" w:sz="2" w:space="0"/>
            </w:tcBorders>
            <w:shd w:val="clear" w:color="auto" w:fill="431961"/>
            <w:noWrap w:val="0"/>
            <w:vAlign w:val="center"/>
          </w:tcPr>
          <w:p w14:paraId="51440951">
            <w:pPr>
              <w:pStyle w:val="3"/>
              <w:keepNext w:val="0"/>
              <w:keepLines w:val="0"/>
              <w:widowControl/>
              <w:suppressLineNumbers w:val="0"/>
              <w:kinsoku/>
              <w:wordWrap/>
              <w:overflowPunct/>
              <w:snapToGrid w:val="0"/>
              <w:jc w:val="center"/>
              <w:rPr>
                <w:rFonts w:hint="eastAsia" w:ascii="Calibri" w:eastAsia="宋体"/>
                <w:b/>
                <w:sz w:val="28"/>
                <w:lang w:eastAsia="zh-CN"/>
              </w:rPr>
            </w:pPr>
            <w:r>
              <w:rPr>
                <w:rFonts w:hint="eastAsia" w:ascii="Calibri" w:eastAsia="宋体"/>
                <w:b/>
                <w:bCs/>
                <w:color w:val="FFFFFF"/>
                <w:sz w:val="28"/>
                <w:szCs w:val="28"/>
                <w:lang w:eastAsia="zh-CN"/>
              </w:rPr>
              <w:t>解决办法</w:t>
            </w:r>
          </w:p>
        </w:tc>
      </w:tr>
      <w:tr w14:paraId="3D444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jc w:val="center"/>
        </w:trPr>
        <w:tc>
          <w:tcPr>
            <w:tcW w:w="1675"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17D075DD">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传输超时</w:t>
            </w:r>
          </w:p>
        </w:tc>
        <w:tc>
          <w:tcPr>
            <w:tcW w:w="874"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020BC5F6">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1007</w:t>
            </w:r>
          </w:p>
        </w:tc>
        <w:tc>
          <w:tcPr>
            <w:tcW w:w="3966"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0730203B">
            <w:pPr>
              <w:pStyle w:val="3"/>
              <w:keepNext w:val="0"/>
              <w:keepLines w:val="0"/>
              <w:widowControl/>
              <w:suppressLineNumbers w:val="0"/>
              <w:kinsoku/>
              <w:wordWrap/>
              <w:overflowPunct/>
              <w:snapToGrid w:val="0"/>
              <w:jc w:val="left"/>
              <w:rPr>
                <w:rFonts w:ascii="Calibri" w:eastAsia="宋体"/>
                <w:sz w:val="24"/>
              </w:rPr>
            </w:pPr>
            <w:r>
              <w:rPr>
                <w:rFonts w:ascii="Calibri" w:eastAsia="宋体"/>
                <w:color w:val="000000"/>
                <w:sz w:val="24"/>
                <w:szCs w:val="24"/>
              </w:rPr>
              <w:t>传输瓶磨损导致卡瓶、传输瓶超重，硬件故障、</w:t>
            </w:r>
            <w:r>
              <w:rPr>
                <w:rFonts w:ascii="Calibri" w:eastAsia="宋体"/>
                <w:b/>
                <w:bCs/>
                <w:color w:val="000000"/>
                <w:sz w:val="24"/>
                <w:szCs w:val="24"/>
              </w:rPr>
              <w:t>故障累加</w:t>
            </w:r>
          </w:p>
        </w:tc>
        <w:tc>
          <w:tcPr>
            <w:tcW w:w="2674"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7D9AF0A7">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更换摩擦圈、系统性进行检查</w:t>
            </w:r>
          </w:p>
        </w:tc>
      </w:tr>
      <w:tr w14:paraId="2F950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jc w:val="center"/>
        </w:trPr>
        <w:tc>
          <w:tcPr>
            <w:tcW w:w="1675"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4BE95DCE">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路径不通</w:t>
            </w:r>
          </w:p>
        </w:tc>
        <w:tc>
          <w:tcPr>
            <w:tcW w:w="874"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785E85BE">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60</w:t>
            </w:r>
          </w:p>
        </w:tc>
        <w:tc>
          <w:tcPr>
            <w:tcW w:w="3966"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2A3080F2">
            <w:pPr>
              <w:pStyle w:val="3"/>
              <w:keepNext w:val="0"/>
              <w:keepLines w:val="0"/>
              <w:widowControl/>
              <w:suppressLineNumbers w:val="0"/>
              <w:kinsoku/>
              <w:wordWrap/>
              <w:overflowPunct/>
              <w:snapToGrid w:val="0"/>
              <w:jc w:val="left"/>
              <w:rPr>
                <w:rFonts w:ascii="Calibri" w:eastAsia="宋体"/>
                <w:sz w:val="24"/>
              </w:rPr>
            </w:pPr>
            <w:r>
              <w:rPr>
                <w:rFonts w:ascii="Calibri" w:eastAsia="宋体"/>
                <w:color w:val="000000"/>
                <w:sz w:val="24"/>
                <w:szCs w:val="24"/>
              </w:rPr>
              <w:t>线路故障处理中，系统占线导致</w:t>
            </w:r>
          </w:p>
        </w:tc>
        <w:tc>
          <w:tcPr>
            <w:tcW w:w="2674"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7A0BE5D1">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暂时性故障，任务处理完后自动消除</w:t>
            </w:r>
          </w:p>
        </w:tc>
      </w:tr>
      <w:tr w14:paraId="10143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jc w:val="center"/>
        </w:trPr>
        <w:tc>
          <w:tcPr>
            <w:tcW w:w="1675"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45BE0371">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读瓶失败</w:t>
            </w:r>
          </w:p>
        </w:tc>
        <w:tc>
          <w:tcPr>
            <w:tcW w:w="874"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57008228">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44</w:t>
            </w:r>
          </w:p>
        </w:tc>
        <w:tc>
          <w:tcPr>
            <w:tcW w:w="3966"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04B720FD">
            <w:pPr>
              <w:pStyle w:val="3"/>
              <w:keepNext w:val="0"/>
              <w:keepLines w:val="0"/>
              <w:widowControl/>
              <w:suppressLineNumbers w:val="0"/>
              <w:kinsoku/>
              <w:wordWrap/>
              <w:overflowPunct/>
              <w:snapToGrid w:val="0"/>
              <w:jc w:val="left"/>
              <w:rPr>
                <w:rFonts w:ascii="Calibri" w:eastAsia="宋体"/>
                <w:sz w:val="24"/>
              </w:rPr>
            </w:pPr>
            <w:r>
              <w:rPr>
                <w:rFonts w:ascii="Calibri" w:eastAsia="宋体"/>
                <w:color w:val="000000"/>
                <w:sz w:val="24"/>
                <w:szCs w:val="24"/>
              </w:rPr>
              <w:t>RFID天线异常、RFID芯片异常</w:t>
            </w:r>
          </w:p>
        </w:tc>
        <w:tc>
          <w:tcPr>
            <w:tcW w:w="2674"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19B32A25">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更换RFID芯片或天线</w:t>
            </w:r>
          </w:p>
        </w:tc>
      </w:tr>
      <w:tr w14:paraId="1BF88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jc w:val="center"/>
        </w:trPr>
        <w:tc>
          <w:tcPr>
            <w:tcW w:w="1675"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2D3F0D81">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黑屏</w:t>
            </w:r>
          </w:p>
        </w:tc>
        <w:tc>
          <w:tcPr>
            <w:tcW w:w="874"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49CF72CB">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32</w:t>
            </w:r>
          </w:p>
        </w:tc>
        <w:tc>
          <w:tcPr>
            <w:tcW w:w="3966"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5FBFCC6C">
            <w:pPr>
              <w:pStyle w:val="3"/>
              <w:keepNext w:val="0"/>
              <w:keepLines w:val="0"/>
              <w:widowControl/>
              <w:suppressLineNumbers w:val="0"/>
              <w:kinsoku/>
              <w:wordWrap/>
              <w:overflowPunct/>
              <w:snapToGrid w:val="0"/>
              <w:jc w:val="left"/>
              <w:rPr>
                <w:rFonts w:ascii="Calibri" w:eastAsia="宋体"/>
                <w:sz w:val="24"/>
              </w:rPr>
            </w:pPr>
            <w:r>
              <w:rPr>
                <w:rFonts w:ascii="Calibri" w:eastAsia="宋体"/>
                <w:color w:val="000000"/>
                <w:sz w:val="24"/>
                <w:szCs w:val="24"/>
              </w:rPr>
              <w:t>硬盘故障</w:t>
            </w:r>
          </w:p>
        </w:tc>
        <w:tc>
          <w:tcPr>
            <w:tcW w:w="2674"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02BB6F72">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更换硬盘（未更换40个）</w:t>
            </w:r>
          </w:p>
        </w:tc>
      </w:tr>
      <w:tr w14:paraId="62E75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jc w:val="center"/>
        </w:trPr>
        <w:tc>
          <w:tcPr>
            <w:tcW w:w="1675"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7FB8134E">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离线</w:t>
            </w:r>
          </w:p>
        </w:tc>
        <w:tc>
          <w:tcPr>
            <w:tcW w:w="874"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1DFA5CD0">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42</w:t>
            </w:r>
          </w:p>
        </w:tc>
        <w:tc>
          <w:tcPr>
            <w:tcW w:w="3966"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2F57ADE7">
            <w:pPr>
              <w:pStyle w:val="3"/>
              <w:keepNext w:val="0"/>
              <w:keepLines w:val="0"/>
              <w:widowControl/>
              <w:suppressLineNumbers w:val="0"/>
              <w:kinsoku/>
              <w:wordWrap/>
              <w:overflowPunct/>
              <w:snapToGrid w:val="0"/>
              <w:jc w:val="left"/>
              <w:rPr>
                <w:rFonts w:ascii="Calibri" w:eastAsia="宋体"/>
                <w:sz w:val="24"/>
              </w:rPr>
            </w:pPr>
            <w:r>
              <w:rPr>
                <w:rFonts w:ascii="Calibri" w:eastAsia="宋体"/>
                <w:color w:val="000000"/>
                <w:sz w:val="24"/>
                <w:szCs w:val="24"/>
              </w:rPr>
              <w:t>网络问题</w:t>
            </w:r>
          </w:p>
        </w:tc>
        <w:tc>
          <w:tcPr>
            <w:tcW w:w="2674"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61B47948">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服务器重启中</w:t>
            </w:r>
          </w:p>
        </w:tc>
      </w:tr>
      <w:tr w14:paraId="68B6F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jc w:val="center"/>
        </w:trPr>
        <w:tc>
          <w:tcPr>
            <w:tcW w:w="1675"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79BA1837">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设备故障</w:t>
            </w:r>
          </w:p>
        </w:tc>
        <w:tc>
          <w:tcPr>
            <w:tcW w:w="874"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6926C95B">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22</w:t>
            </w:r>
          </w:p>
        </w:tc>
        <w:tc>
          <w:tcPr>
            <w:tcW w:w="3966"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077F444E">
            <w:pPr>
              <w:pStyle w:val="3"/>
              <w:keepNext w:val="0"/>
              <w:keepLines w:val="0"/>
              <w:widowControl/>
              <w:suppressLineNumbers w:val="0"/>
              <w:kinsoku/>
              <w:wordWrap/>
              <w:overflowPunct/>
              <w:snapToGrid w:val="0"/>
              <w:jc w:val="left"/>
              <w:rPr>
                <w:rFonts w:ascii="Calibri" w:eastAsia="宋体"/>
                <w:sz w:val="24"/>
              </w:rPr>
            </w:pPr>
            <w:r>
              <w:rPr>
                <w:rFonts w:ascii="Calibri" w:eastAsia="宋体"/>
                <w:color w:val="000000"/>
                <w:sz w:val="24"/>
                <w:szCs w:val="24"/>
              </w:rPr>
              <w:t>硬件故障（如传感器损坏、错位等）</w:t>
            </w:r>
          </w:p>
        </w:tc>
        <w:tc>
          <w:tcPr>
            <w:tcW w:w="2674"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191B5D3D">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系统性进行检查</w:t>
            </w:r>
          </w:p>
        </w:tc>
      </w:tr>
      <w:tr w14:paraId="570BF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jc w:val="center"/>
        </w:trPr>
        <w:tc>
          <w:tcPr>
            <w:tcW w:w="1675"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030470FA">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接收电机过流</w:t>
            </w:r>
          </w:p>
        </w:tc>
        <w:tc>
          <w:tcPr>
            <w:tcW w:w="874"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741126B9">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21</w:t>
            </w:r>
          </w:p>
        </w:tc>
        <w:tc>
          <w:tcPr>
            <w:tcW w:w="3966"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6BB92BA1">
            <w:pPr>
              <w:pStyle w:val="3"/>
              <w:keepNext w:val="0"/>
              <w:keepLines w:val="0"/>
              <w:widowControl/>
              <w:suppressLineNumbers w:val="0"/>
              <w:kinsoku/>
              <w:wordWrap/>
              <w:overflowPunct/>
              <w:snapToGrid w:val="0"/>
              <w:jc w:val="left"/>
              <w:rPr>
                <w:rFonts w:ascii="Calibri" w:eastAsia="宋体"/>
                <w:sz w:val="24"/>
              </w:rPr>
            </w:pPr>
            <w:r>
              <w:rPr>
                <w:rFonts w:ascii="Calibri" w:eastAsia="宋体"/>
                <w:color w:val="000000"/>
                <w:sz w:val="24"/>
                <w:szCs w:val="24"/>
              </w:rPr>
              <w:t>站点卡瓶、站点配件脱落</w:t>
            </w:r>
          </w:p>
        </w:tc>
        <w:tc>
          <w:tcPr>
            <w:tcW w:w="2674"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37F7FE42">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更换摩擦圈</w:t>
            </w:r>
          </w:p>
        </w:tc>
      </w:tr>
      <w:tr w14:paraId="201A7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jc w:val="center"/>
        </w:trPr>
        <w:tc>
          <w:tcPr>
            <w:tcW w:w="1675"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153EEF72">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瓶满</w:t>
            </w:r>
          </w:p>
        </w:tc>
        <w:tc>
          <w:tcPr>
            <w:tcW w:w="874"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4C1CC853">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15</w:t>
            </w:r>
          </w:p>
        </w:tc>
        <w:tc>
          <w:tcPr>
            <w:tcW w:w="3966"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42C4980B">
            <w:pPr>
              <w:pStyle w:val="3"/>
              <w:keepNext w:val="0"/>
              <w:keepLines w:val="0"/>
              <w:widowControl/>
              <w:suppressLineNumbers w:val="0"/>
              <w:kinsoku/>
              <w:wordWrap/>
              <w:overflowPunct/>
              <w:snapToGrid w:val="0"/>
              <w:jc w:val="left"/>
              <w:rPr>
                <w:rFonts w:ascii="Calibri" w:eastAsia="宋体"/>
                <w:sz w:val="24"/>
              </w:rPr>
            </w:pPr>
            <w:r>
              <w:rPr>
                <w:rFonts w:ascii="Calibri" w:eastAsia="宋体"/>
                <w:color w:val="000000"/>
                <w:sz w:val="24"/>
                <w:szCs w:val="24"/>
              </w:rPr>
              <w:t>目的地瓶满（人为因素）</w:t>
            </w:r>
          </w:p>
        </w:tc>
        <w:tc>
          <w:tcPr>
            <w:tcW w:w="2674"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38267530">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护士站及时取瓶</w:t>
            </w:r>
          </w:p>
        </w:tc>
      </w:tr>
      <w:tr w14:paraId="2088B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jc w:val="center"/>
        </w:trPr>
        <w:tc>
          <w:tcPr>
            <w:tcW w:w="1675"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2D7DC7C2">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滑动阀转工位超时</w:t>
            </w:r>
          </w:p>
        </w:tc>
        <w:tc>
          <w:tcPr>
            <w:tcW w:w="874"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2B3AA764">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14</w:t>
            </w:r>
          </w:p>
        </w:tc>
        <w:tc>
          <w:tcPr>
            <w:tcW w:w="3966"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44EDF37A">
            <w:pPr>
              <w:pStyle w:val="3"/>
              <w:keepNext w:val="0"/>
              <w:keepLines w:val="0"/>
              <w:widowControl/>
              <w:suppressLineNumbers w:val="0"/>
              <w:kinsoku/>
              <w:wordWrap/>
              <w:overflowPunct/>
              <w:snapToGrid w:val="0"/>
              <w:jc w:val="left"/>
              <w:rPr>
                <w:rFonts w:ascii="Calibri" w:eastAsia="宋体"/>
                <w:sz w:val="24"/>
              </w:rPr>
            </w:pPr>
            <w:r>
              <w:rPr>
                <w:rFonts w:ascii="Calibri" w:eastAsia="宋体"/>
                <w:color w:val="000000"/>
                <w:sz w:val="24"/>
                <w:szCs w:val="24"/>
              </w:rPr>
              <w:t>站点卡瓶</w:t>
            </w:r>
          </w:p>
        </w:tc>
        <w:tc>
          <w:tcPr>
            <w:tcW w:w="2674" w:type="dxa"/>
            <w:tcBorders>
              <w:top w:val="single" w:color="FFFFFF" w:sz="2" w:space="0"/>
              <w:left w:val="single" w:color="FFFFFF" w:sz="2" w:space="0"/>
              <w:bottom w:val="single" w:color="FFFFFF" w:sz="8" w:space="0"/>
              <w:right w:val="single" w:color="FFFFFF" w:sz="2" w:space="0"/>
            </w:tcBorders>
            <w:shd w:val="clear" w:color="auto" w:fill="CFCCD2"/>
            <w:noWrap w:val="0"/>
            <w:vAlign w:val="center"/>
          </w:tcPr>
          <w:p w14:paraId="424ECC42">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更换摩擦圈、站点检查</w:t>
            </w:r>
          </w:p>
        </w:tc>
      </w:tr>
      <w:tr w14:paraId="331F2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jc w:val="center"/>
        </w:trPr>
        <w:tc>
          <w:tcPr>
            <w:tcW w:w="1675"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625207E4">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任务取消</w:t>
            </w:r>
          </w:p>
        </w:tc>
        <w:tc>
          <w:tcPr>
            <w:tcW w:w="874"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264577E4">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6</w:t>
            </w:r>
          </w:p>
        </w:tc>
        <w:tc>
          <w:tcPr>
            <w:tcW w:w="3966"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33144F94">
            <w:pPr>
              <w:pStyle w:val="3"/>
              <w:keepNext w:val="0"/>
              <w:keepLines w:val="0"/>
              <w:widowControl/>
              <w:suppressLineNumbers w:val="0"/>
              <w:kinsoku/>
              <w:wordWrap/>
              <w:overflowPunct/>
              <w:snapToGrid w:val="0"/>
              <w:jc w:val="left"/>
              <w:rPr>
                <w:rFonts w:ascii="Calibri" w:eastAsia="宋体"/>
                <w:sz w:val="24"/>
              </w:rPr>
            </w:pPr>
            <w:r>
              <w:rPr>
                <w:rFonts w:ascii="Calibri" w:eastAsia="宋体"/>
                <w:color w:val="000000"/>
                <w:sz w:val="24"/>
                <w:szCs w:val="24"/>
              </w:rPr>
              <w:t>未读取到瓶号RFID</w:t>
            </w:r>
          </w:p>
        </w:tc>
        <w:tc>
          <w:tcPr>
            <w:tcW w:w="2674" w:type="dxa"/>
            <w:tcBorders>
              <w:top w:val="single" w:color="FFFFFF" w:sz="2" w:space="0"/>
              <w:left w:val="single" w:color="FFFFFF" w:sz="2" w:space="0"/>
              <w:bottom w:val="single" w:color="FFFFFF" w:sz="8" w:space="0"/>
              <w:right w:val="single" w:color="FFFFFF" w:sz="2" w:space="0"/>
            </w:tcBorders>
            <w:shd w:val="clear" w:color="auto" w:fill="E9E7EA"/>
            <w:noWrap w:val="0"/>
            <w:vAlign w:val="center"/>
          </w:tcPr>
          <w:p w14:paraId="6FDD28CE">
            <w:pPr>
              <w:pStyle w:val="3"/>
              <w:keepNext w:val="0"/>
              <w:keepLines w:val="0"/>
              <w:widowControl/>
              <w:suppressLineNumbers w:val="0"/>
              <w:kinsoku/>
              <w:wordWrap/>
              <w:overflowPunct/>
              <w:snapToGrid w:val="0"/>
              <w:jc w:val="center"/>
              <w:rPr>
                <w:rFonts w:ascii="Calibri" w:eastAsia="宋体"/>
                <w:sz w:val="24"/>
              </w:rPr>
            </w:pPr>
            <w:r>
              <w:rPr>
                <w:rFonts w:ascii="Calibri" w:eastAsia="宋体"/>
                <w:color w:val="000000"/>
                <w:sz w:val="24"/>
                <w:szCs w:val="24"/>
              </w:rPr>
              <w:t>更换RFID芯片</w:t>
            </w:r>
          </w:p>
        </w:tc>
      </w:tr>
    </w:tbl>
    <w:p w14:paraId="52BB340E">
      <w:pPr>
        <w:spacing w:line="360" w:lineRule="auto"/>
        <w:ind w:firstLine="420" w:firstLineChars="0"/>
        <w:jc w:val="left"/>
        <w:rPr>
          <w:rFonts w:hint="default" w:ascii="宋体" w:hAnsi="宋体" w:eastAsia="宋体" w:cs="宋体"/>
          <w:b/>
          <w:bCs/>
          <w:color w:val="auto"/>
          <w:sz w:val="24"/>
          <w:lang w:val="en-US" w:eastAsia="zh-CN"/>
        </w:rPr>
      </w:pPr>
    </w:p>
    <w:p w14:paraId="7BA3DFA6">
      <w:pPr>
        <w:tabs>
          <w:tab w:val="left" w:pos="5965"/>
        </w:tabs>
        <w:spacing w:line="360" w:lineRule="auto"/>
        <w:ind w:firstLine="420" w:firstLineChars="0"/>
        <w:jc w:val="left"/>
        <w:rPr>
          <w:rFonts w:hint="default" w:ascii="宋体" w:hAnsi="宋体" w:eastAsia="宋体" w:cs="宋体"/>
          <w:b/>
          <w:bCs/>
          <w:color w:val="auto"/>
          <w:sz w:val="40"/>
          <w:szCs w:val="40"/>
          <w:lang w:val="en-US" w:eastAsia="zh-CN"/>
        </w:rPr>
      </w:pPr>
      <w:r>
        <w:drawing>
          <wp:anchor distT="0" distB="0" distL="114300" distR="114300" simplePos="0" relativeHeight="251662336" behindDoc="0" locked="0" layoutInCell="1" allowOverlap="1">
            <wp:simplePos x="0" y="0"/>
            <wp:positionH relativeFrom="column">
              <wp:posOffset>4142740</wp:posOffset>
            </wp:positionH>
            <wp:positionV relativeFrom="paragraph">
              <wp:posOffset>20955</wp:posOffset>
            </wp:positionV>
            <wp:extent cx="1668145" cy="2225675"/>
            <wp:effectExtent l="0" t="0" r="8255" b="3175"/>
            <wp:wrapNone/>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14"/>
                    <a:stretch>
                      <a:fillRect/>
                    </a:stretch>
                  </pic:blipFill>
                  <pic:spPr>
                    <a:xfrm>
                      <a:off x="0" y="0"/>
                      <a:ext cx="1668145" cy="222567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2354580</wp:posOffset>
            </wp:positionH>
            <wp:positionV relativeFrom="paragraph">
              <wp:posOffset>20955</wp:posOffset>
            </wp:positionV>
            <wp:extent cx="1668780" cy="2225675"/>
            <wp:effectExtent l="0" t="0" r="7620" b="3175"/>
            <wp:wrapNone/>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5"/>
                    <a:stretch>
                      <a:fillRect/>
                    </a:stretch>
                  </pic:blipFill>
                  <pic:spPr>
                    <a:xfrm>
                      <a:off x="0" y="0"/>
                      <a:ext cx="1668780" cy="2225675"/>
                    </a:xfrm>
                    <a:prstGeom prst="rect">
                      <a:avLst/>
                    </a:prstGeom>
                    <a:noFill/>
                    <a:ln>
                      <a:noFill/>
                    </a:ln>
                  </pic:spPr>
                </pic:pic>
              </a:graphicData>
            </a:graphic>
          </wp:anchor>
        </w:drawing>
      </w:r>
      <w:r>
        <w:drawing>
          <wp:inline distT="0" distB="0" distL="114300" distR="114300">
            <wp:extent cx="1595120" cy="3090545"/>
            <wp:effectExtent l="0" t="0" r="508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6"/>
                    <a:stretch>
                      <a:fillRect/>
                    </a:stretch>
                  </pic:blipFill>
                  <pic:spPr>
                    <a:xfrm>
                      <a:off x="0" y="0"/>
                      <a:ext cx="1595120" cy="3090545"/>
                    </a:xfrm>
                    <a:prstGeom prst="rect">
                      <a:avLst/>
                    </a:prstGeom>
                    <a:noFill/>
                    <a:ln>
                      <a:noFill/>
                    </a:ln>
                  </pic:spPr>
                </pic:pic>
              </a:graphicData>
            </a:graphic>
          </wp:inline>
        </w:drawing>
      </w:r>
      <w:r>
        <w:rPr>
          <w:rFonts w:hint="eastAsia"/>
          <w:lang w:val="en-US" w:eastAsia="zh-CN"/>
        </w:rPr>
        <w:t xml:space="preserve">                          </w:t>
      </w:r>
      <w:r>
        <w:rPr>
          <w:rFonts w:hint="eastAsia"/>
          <w:sz w:val="32"/>
          <w:szCs w:val="40"/>
          <w:lang w:val="en-US" w:eastAsia="zh-CN"/>
        </w:rPr>
        <w:t>损坏摩擦圈</w:t>
      </w:r>
    </w:p>
    <w:p w14:paraId="61CAF57D">
      <w:pPr>
        <w:spacing w:line="360" w:lineRule="auto"/>
        <w:ind w:firstLine="420" w:firstLineChars="0"/>
        <w:jc w:val="left"/>
        <w:rPr>
          <w:rFonts w:hint="eastAsia" w:ascii="宋体" w:hAnsi="宋体" w:eastAsia="宋体" w:cs="宋体"/>
          <w:b/>
          <w:bCs/>
          <w:color w:val="auto"/>
          <w:sz w:val="24"/>
          <w:lang w:val="en-US" w:eastAsia="zh-CN"/>
        </w:rPr>
      </w:pPr>
    </w:p>
    <w:p w14:paraId="34477CAA">
      <w:pPr>
        <w:spacing w:line="360" w:lineRule="auto"/>
        <w:jc w:val="both"/>
        <w:rPr>
          <w:rFonts w:hint="eastAsia" w:ascii="宋体" w:hAnsi="宋体" w:eastAsia="宋体" w:cs="宋体"/>
          <w:sz w:val="24"/>
          <w:szCs w:val="24"/>
          <w:lang w:val="en-US" w:eastAsia="zh-CN"/>
        </w:rPr>
      </w:pPr>
    </w:p>
    <w:p w14:paraId="5E1D840C">
      <w:pPr>
        <w:spacing w:line="360" w:lineRule="auto"/>
        <w:jc w:val="both"/>
        <w:rPr>
          <w:rFonts w:hint="eastAsia" w:ascii="宋体" w:hAnsi="宋体" w:eastAsia="宋体" w:cs="宋体"/>
          <w:sz w:val="24"/>
          <w:szCs w:val="24"/>
          <w:lang w:val="en-US" w:eastAsia="zh-CN"/>
        </w:rPr>
      </w:pPr>
    </w:p>
    <w:p w14:paraId="2D1B796D">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7348A3B8">
      <w:pPr>
        <w:spacing w:line="36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附件二：</w:t>
      </w:r>
      <w:r>
        <w:rPr>
          <w:rFonts w:hint="eastAsia" w:ascii="宋体" w:hAnsi="宋体" w:eastAsia="宋体" w:cs="宋体"/>
          <w:sz w:val="24"/>
          <w:szCs w:val="24"/>
        </w:rPr>
        <w:t>《</w:t>
      </w:r>
      <w:r>
        <w:rPr>
          <w:rFonts w:hint="eastAsia" w:ascii="宋体" w:hAnsi="宋体" w:eastAsia="宋体" w:cs="宋体"/>
          <w:sz w:val="24"/>
          <w:szCs w:val="24"/>
          <w:lang w:val="en-US" w:eastAsia="zh-CN"/>
        </w:rPr>
        <w:t>易损件清单及更换频率</w:t>
      </w:r>
      <w:r>
        <w:rPr>
          <w:rFonts w:hint="eastAsia" w:ascii="宋体" w:hAnsi="宋体" w:eastAsia="宋体" w:cs="宋体"/>
          <w:sz w:val="24"/>
          <w:szCs w:val="24"/>
        </w:rPr>
        <w:t>》</w:t>
      </w:r>
    </w:p>
    <w:p w14:paraId="7498232C">
      <w:pPr>
        <w:spacing w:line="360" w:lineRule="auto"/>
        <w:jc w:val="both"/>
        <w:rPr>
          <w:rFonts w:hint="eastAsia"/>
          <w:sz w:val="24"/>
          <w:szCs w:val="2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2690"/>
        <w:gridCol w:w="1903"/>
        <w:gridCol w:w="1248"/>
        <w:gridCol w:w="1860"/>
      </w:tblGrid>
      <w:tr w14:paraId="3888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3F3443CC">
            <w:pPr>
              <w:numPr>
                <w:ilvl w:val="0"/>
                <w:numId w:val="0"/>
              </w:numPr>
              <w:spacing w:line="360" w:lineRule="auto"/>
              <w:jc w:val="center"/>
              <w:rPr>
                <w:rFonts w:hint="default" w:ascii="宋体" w:hAnsi="宋体" w:eastAsia="宋体" w:cs="宋体"/>
                <w:b/>
                <w:bCs/>
                <w:color w:val="auto"/>
                <w:sz w:val="24"/>
                <w:vertAlign w:val="baseline"/>
                <w:lang w:val="en-US" w:eastAsia="zh-CN"/>
              </w:rPr>
            </w:pPr>
            <w:r>
              <w:rPr>
                <w:rFonts w:hint="eastAsia" w:ascii="宋体" w:hAnsi="宋体" w:eastAsia="宋体" w:cs="宋体"/>
                <w:b/>
                <w:bCs/>
                <w:color w:val="auto"/>
                <w:sz w:val="24"/>
                <w:vertAlign w:val="baseline"/>
                <w:lang w:val="en-US" w:eastAsia="zh-CN"/>
              </w:rPr>
              <w:t>序号</w:t>
            </w:r>
          </w:p>
        </w:tc>
        <w:tc>
          <w:tcPr>
            <w:tcW w:w="2796" w:type="dxa"/>
            <w:noWrap w:val="0"/>
            <w:vAlign w:val="center"/>
          </w:tcPr>
          <w:p w14:paraId="49FCC325">
            <w:pPr>
              <w:numPr>
                <w:ilvl w:val="0"/>
                <w:numId w:val="0"/>
              </w:numPr>
              <w:spacing w:line="360" w:lineRule="auto"/>
              <w:jc w:val="center"/>
              <w:rPr>
                <w:rFonts w:hint="default" w:ascii="宋体" w:hAnsi="宋体" w:eastAsia="宋体" w:cs="宋体"/>
                <w:b/>
                <w:bCs/>
                <w:color w:val="auto"/>
                <w:sz w:val="24"/>
                <w:vertAlign w:val="baseline"/>
                <w:lang w:val="en-US" w:eastAsia="zh-CN"/>
              </w:rPr>
            </w:pPr>
            <w:r>
              <w:rPr>
                <w:rFonts w:hint="eastAsia" w:ascii="宋体" w:hAnsi="宋体" w:eastAsia="宋体" w:cs="宋体"/>
                <w:b/>
                <w:bCs/>
                <w:color w:val="auto"/>
                <w:sz w:val="24"/>
                <w:vertAlign w:val="baseline"/>
                <w:lang w:val="en-US" w:eastAsia="zh-CN"/>
              </w:rPr>
              <w:t>易耗品名称</w:t>
            </w:r>
          </w:p>
        </w:tc>
        <w:tc>
          <w:tcPr>
            <w:tcW w:w="1980" w:type="dxa"/>
            <w:noWrap w:val="0"/>
            <w:vAlign w:val="center"/>
          </w:tcPr>
          <w:p w14:paraId="6010F883">
            <w:pPr>
              <w:numPr>
                <w:ilvl w:val="0"/>
                <w:numId w:val="0"/>
              </w:numPr>
              <w:spacing w:line="360" w:lineRule="auto"/>
              <w:jc w:val="center"/>
              <w:rPr>
                <w:rFonts w:hint="default" w:ascii="宋体" w:hAnsi="宋体" w:eastAsia="宋体" w:cs="宋体"/>
                <w:b/>
                <w:bCs/>
                <w:color w:val="auto"/>
                <w:sz w:val="24"/>
                <w:vertAlign w:val="baseline"/>
                <w:lang w:val="en-US" w:eastAsia="zh-CN"/>
              </w:rPr>
            </w:pPr>
            <w:r>
              <w:rPr>
                <w:rFonts w:hint="eastAsia" w:ascii="宋体" w:hAnsi="宋体" w:eastAsia="宋体" w:cs="宋体"/>
                <w:b/>
                <w:bCs/>
                <w:color w:val="auto"/>
                <w:sz w:val="24"/>
                <w:vertAlign w:val="baseline"/>
                <w:lang w:val="en-US" w:eastAsia="zh-CN"/>
              </w:rPr>
              <w:t>单价/元</w:t>
            </w:r>
          </w:p>
        </w:tc>
        <w:tc>
          <w:tcPr>
            <w:tcW w:w="1290" w:type="dxa"/>
            <w:noWrap w:val="0"/>
            <w:vAlign w:val="center"/>
          </w:tcPr>
          <w:p w14:paraId="64F772C9">
            <w:pPr>
              <w:numPr>
                <w:ilvl w:val="0"/>
                <w:numId w:val="0"/>
              </w:numPr>
              <w:spacing w:line="360" w:lineRule="auto"/>
              <w:jc w:val="center"/>
              <w:rPr>
                <w:rFonts w:hint="default" w:ascii="宋体" w:hAnsi="宋体" w:eastAsia="宋体" w:cs="宋体"/>
                <w:b/>
                <w:bCs/>
                <w:color w:val="auto"/>
                <w:sz w:val="24"/>
                <w:vertAlign w:val="baseline"/>
                <w:lang w:val="en-US" w:eastAsia="zh-CN"/>
              </w:rPr>
            </w:pPr>
            <w:r>
              <w:rPr>
                <w:rFonts w:hint="eastAsia" w:ascii="宋体" w:hAnsi="宋体" w:eastAsia="宋体" w:cs="宋体"/>
                <w:b/>
                <w:bCs/>
                <w:color w:val="auto"/>
                <w:sz w:val="24"/>
                <w:vertAlign w:val="baseline"/>
                <w:lang w:val="en-US" w:eastAsia="zh-CN"/>
              </w:rPr>
              <w:t>单位</w:t>
            </w:r>
          </w:p>
        </w:tc>
        <w:tc>
          <w:tcPr>
            <w:tcW w:w="1928" w:type="dxa"/>
            <w:noWrap w:val="0"/>
            <w:vAlign w:val="center"/>
          </w:tcPr>
          <w:p w14:paraId="67E9AE11">
            <w:pPr>
              <w:numPr>
                <w:ilvl w:val="0"/>
                <w:numId w:val="0"/>
              </w:numPr>
              <w:spacing w:line="360" w:lineRule="auto"/>
              <w:jc w:val="center"/>
              <w:rPr>
                <w:rFonts w:hint="default" w:ascii="宋体" w:hAnsi="宋体" w:eastAsia="宋体" w:cs="宋体"/>
                <w:b/>
                <w:bCs/>
                <w:color w:val="auto"/>
                <w:sz w:val="24"/>
                <w:vertAlign w:val="baseline"/>
                <w:lang w:val="en-US" w:eastAsia="zh-CN"/>
              </w:rPr>
            </w:pPr>
            <w:r>
              <w:rPr>
                <w:rFonts w:hint="eastAsia" w:ascii="宋体" w:hAnsi="宋体" w:eastAsia="宋体" w:cs="宋体"/>
                <w:b/>
                <w:bCs/>
                <w:color w:val="auto"/>
                <w:sz w:val="24"/>
                <w:vertAlign w:val="baseline"/>
                <w:lang w:val="en-US" w:eastAsia="zh-CN"/>
              </w:rPr>
              <w:t>更换频率</w:t>
            </w:r>
          </w:p>
        </w:tc>
      </w:tr>
      <w:tr w14:paraId="1ECA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2D6EFF75">
            <w:pPr>
              <w:numPr>
                <w:ilvl w:val="0"/>
                <w:numId w:val="0"/>
              </w:numPr>
              <w:spacing w:line="360" w:lineRule="auto"/>
              <w:jc w:val="center"/>
              <w:rPr>
                <w:rFonts w:hint="default" w:ascii="宋体" w:hAnsi="宋体" w:eastAsia="宋体" w:cs="宋体"/>
                <w:b/>
                <w:bCs/>
                <w:color w:val="auto"/>
                <w:sz w:val="24"/>
                <w:vertAlign w:val="baseline"/>
                <w:lang w:val="en-US" w:eastAsia="zh-CN"/>
              </w:rPr>
            </w:pPr>
            <w:r>
              <w:rPr>
                <w:rFonts w:hint="eastAsia" w:ascii="宋体" w:hAnsi="宋体" w:eastAsia="宋体" w:cs="宋体"/>
                <w:b/>
                <w:bCs/>
                <w:color w:val="auto"/>
                <w:sz w:val="24"/>
                <w:vertAlign w:val="baseline"/>
                <w:lang w:val="en-US" w:eastAsia="zh-CN"/>
              </w:rPr>
              <w:t>1</w:t>
            </w:r>
          </w:p>
        </w:tc>
        <w:tc>
          <w:tcPr>
            <w:tcW w:w="2796" w:type="dxa"/>
            <w:noWrap w:val="0"/>
            <w:vAlign w:val="center"/>
          </w:tcPr>
          <w:p w14:paraId="5A5BBC9C">
            <w:pPr>
              <w:numPr>
                <w:ilvl w:val="0"/>
                <w:numId w:val="0"/>
              </w:numPr>
              <w:spacing w:line="360" w:lineRule="auto"/>
              <w:jc w:val="center"/>
              <w:rPr>
                <w:rFonts w:hint="default" w:ascii="宋体" w:hAnsi="宋体" w:eastAsia="宋体" w:cs="宋体"/>
                <w:b/>
                <w:bCs/>
                <w:color w:val="auto"/>
                <w:sz w:val="24"/>
                <w:vertAlign w:val="baseline"/>
                <w:lang w:val="en-US" w:eastAsia="zh-CN"/>
              </w:rPr>
            </w:pPr>
            <w:r>
              <w:rPr>
                <w:rFonts w:hint="eastAsia" w:ascii="宋体" w:hAnsi="宋体" w:eastAsia="宋体" w:cs="宋体"/>
                <w:color w:val="auto"/>
                <w:sz w:val="24"/>
                <w:lang w:val="en-US" w:eastAsia="zh-CN"/>
              </w:rPr>
              <w:t>传输瓶</w:t>
            </w:r>
          </w:p>
        </w:tc>
        <w:tc>
          <w:tcPr>
            <w:tcW w:w="1980" w:type="dxa"/>
            <w:noWrap w:val="0"/>
            <w:vAlign w:val="center"/>
          </w:tcPr>
          <w:p w14:paraId="5FB89E37">
            <w:pPr>
              <w:numPr>
                <w:ilvl w:val="0"/>
                <w:numId w:val="0"/>
              </w:numPr>
              <w:spacing w:line="360" w:lineRule="auto"/>
              <w:jc w:val="center"/>
              <w:rPr>
                <w:rFonts w:hint="default" w:ascii="宋体" w:hAnsi="宋体" w:eastAsia="宋体" w:cs="宋体"/>
                <w:b/>
                <w:bCs/>
                <w:color w:val="auto"/>
                <w:sz w:val="24"/>
                <w:vertAlign w:val="baseline"/>
                <w:lang w:val="en-US" w:eastAsia="zh-CN"/>
              </w:rPr>
            </w:pPr>
          </w:p>
        </w:tc>
        <w:tc>
          <w:tcPr>
            <w:tcW w:w="1290" w:type="dxa"/>
            <w:noWrap w:val="0"/>
            <w:vAlign w:val="center"/>
          </w:tcPr>
          <w:p w14:paraId="24F7B3BE">
            <w:pPr>
              <w:numPr>
                <w:ilvl w:val="0"/>
                <w:numId w:val="0"/>
              </w:numPr>
              <w:spacing w:line="360" w:lineRule="auto"/>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个</w:t>
            </w:r>
          </w:p>
        </w:tc>
        <w:tc>
          <w:tcPr>
            <w:tcW w:w="1928" w:type="dxa"/>
            <w:noWrap w:val="0"/>
            <w:vAlign w:val="center"/>
          </w:tcPr>
          <w:p w14:paraId="05C2C4B8">
            <w:pPr>
              <w:numPr>
                <w:ilvl w:val="0"/>
                <w:numId w:val="0"/>
              </w:numPr>
              <w:spacing w:line="360" w:lineRule="auto"/>
              <w:jc w:val="center"/>
              <w:rPr>
                <w:rFonts w:hint="default" w:ascii="宋体" w:hAnsi="宋体" w:eastAsia="宋体" w:cs="宋体"/>
                <w:b/>
                <w:bCs/>
                <w:color w:val="auto"/>
                <w:sz w:val="24"/>
                <w:vertAlign w:val="baseline"/>
                <w:lang w:val="en-US" w:eastAsia="zh-CN"/>
              </w:rPr>
            </w:pPr>
            <w:r>
              <w:rPr>
                <w:rFonts w:hint="eastAsia" w:ascii="宋体" w:hAnsi="宋体" w:eastAsia="宋体" w:cs="宋体"/>
                <w:b/>
                <w:bCs/>
                <w:color w:val="auto"/>
                <w:sz w:val="24"/>
                <w:vertAlign w:val="baseline"/>
                <w:lang w:val="en-US" w:eastAsia="zh-CN"/>
              </w:rPr>
              <w:t>6个月</w:t>
            </w:r>
          </w:p>
        </w:tc>
      </w:tr>
      <w:tr w14:paraId="0DE4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3DCCEE6B">
            <w:pPr>
              <w:numPr>
                <w:ilvl w:val="0"/>
                <w:numId w:val="0"/>
              </w:numPr>
              <w:spacing w:line="360" w:lineRule="auto"/>
              <w:jc w:val="center"/>
              <w:rPr>
                <w:rFonts w:hint="default" w:ascii="宋体" w:hAnsi="宋体" w:eastAsia="宋体" w:cs="宋体"/>
                <w:b/>
                <w:bCs/>
                <w:color w:val="auto"/>
                <w:sz w:val="24"/>
                <w:highlight w:val="none"/>
                <w:vertAlign w:val="baseline"/>
                <w:lang w:val="en-US" w:eastAsia="zh-CN"/>
              </w:rPr>
            </w:pPr>
            <w:r>
              <w:rPr>
                <w:rFonts w:hint="eastAsia" w:ascii="宋体" w:hAnsi="宋体" w:eastAsia="宋体" w:cs="宋体"/>
                <w:b/>
                <w:bCs/>
                <w:color w:val="auto"/>
                <w:sz w:val="24"/>
                <w:highlight w:val="none"/>
                <w:vertAlign w:val="baseline"/>
                <w:lang w:val="en-US" w:eastAsia="zh-CN"/>
              </w:rPr>
              <w:t>2</w:t>
            </w:r>
          </w:p>
        </w:tc>
        <w:tc>
          <w:tcPr>
            <w:tcW w:w="2796" w:type="dxa"/>
            <w:noWrap w:val="0"/>
            <w:vAlign w:val="center"/>
          </w:tcPr>
          <w:p w14:paraId="638717B9">
            <w:pPr>
              <w:numPr>
                <w:ilvl w:val="0"/>
                <w:numId w:val="0"/>
              </w:numPr>
              <w:spacing w:line="360" w:lineRule="auto"/>
              <w:jc w:val="center"/>
              <w:rPr>
                <w:rFonts w:hint="default" w:ascii="宋体" w:hAnsi="宋体" w:eastAsia="宋体" w:cs="宋体"/>
                <w:b/>
                <w:bCs/>
                <w:color w:val="auto"/>
                <w:sz w:val="24"/>
                <w:highlight w:val="none"/>
                <w:vertAlign w:val="baseline"/>
                <w:lang w:val="en-US" w:eastAsia="zh-CN"/>
              </w:rPr>
            </w:pPr>
            <w:r>
              <w:rPr>
                <w:rFonts w:hint="eastAsia" w:ascii="宋体" w:hAnsi="宋体" w:eastAsia="宋体" w:cs="宋体"/>
                <w:color w:val="auto"/>
                <w:sz w:val="24"/>
                <w:highlight w:val="none"/>
                <w:lang w:val="en-US" w:eastAsia="zh-CN"/>
              </w:rPr>
              <w:t>摩擦圈</w:t>
            </w:r>
          </w:p>
        </w:tc>
        <w:tc>
          <w:tcPr>
            <w:tcW w:w="1980" w:type="dxa"/>
            <w:noWrap w:val="0"/>
            <w:vAlign w:val="center"/>
          </w:tcPr>
          <w:p w14:paraId="4F1F3526">
            <w:pPr>
              <w:numPr>
                <w:ilvl w:val="0"/>
                <w:numId w:val="0"/>
              </w:numPr>
              <w:spacing w:line="360" w:lineRule="auto"/>
              <w:jc w:val="center"/>
              <w:rPr>
                <w:rFonts w:hint="default" w:ascii="宋体" w:hAnsi="宋体" w:eastAsia="宋体" w:cs="宋体"/>
                <w:b/>
                <w:bCs/>
                <w:color w:val="auto"/>
                <w:sz w:val="24"/>
                <w:highlight w:val="none"/>
                <w:vertAlign w:val="baseline"/>
                <w:lang w:val="en-US" w:eastAsia="zh-CN"/>
              </w:rPr>
            </w:pPr>
          </w:p>
        </w:tc>
        <w:tc>
          <w:tcPr>
            <w:tcW w:w="1290" w:type="dxa"/>
            <w:noWrap w:val="0"/>
            <w:vAlign w:val="center"/>
          </w:tcPr>
          <w:p w14:paraId="0BA90D82">
            <w:pPr>
              <w:numPr>
                <w:ilvl w:val="0"/>
                <w:numId w:val="0"/>
              </w:num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条</w:t>
            </w:r>
          </w:p>
        </w:tc>
        <w:tc>
          <w:tcPr>
            <w:tcW w:w="1928" w:type="dxa"/>
            <w:noWrap w:val="0"/>
            <w:vAlign w:val="center"/>
          </w:tcPr>
          <w:p w14:paraId="11D7DC82">
            <w:pPr>
              <w:numPr>
                <w:ilvl w:val="0"/>
                <w:numId w:val="0"/>
              </w:numPr>
              <w:spacing w:line="360" w:lineRule="auto"/>
              <w:jc w:val="center"/>
              <w:rPr>
                <w:rFonts w:hint="default" w:ascii="宋体" w:hAnsi="宋体" w:eastAsia="宋体" w:cs="宋体"/>
                <w:b/>
                <w:bCs/>
                <w:color w:val="auto"/>
                <w:sz w:val="24"/>
                <w:highlight w:val="none"/>
                <w:vertAlign w:val="baseline"/>
                <w:lang w:val="en-US" w:eastAsia="zh-CN"/>
              </w:rPr>
            </w:pPr>
            <w:r>
              <w:rPr>
                <w:rFonts w:hint="eastAsia" w:ascii="宋体" w:hAnsi="宋体" w:eastAsia="宋体" w:cs="宋体"/>
                <w:b/>
                <w:bCs/>
                <w:color w:val="auto"/>
                <w:sz w:val="24"/>
                <w:highlight w:val="none"/>
                <w:vertAlign w:val="baseline"/>
                <w:lang w:val="en-US" w:eastAsia="zh-CN"/>
              </w:rPr>
              <w:t>3个月</w:t>
            </w:r>
          </w:p>
        </w:tc>
      </w:tr>
      <w:tr w14:paraId="20CDB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7745F42D">
            <w:pPr>
              <w:numPr>
                <w:ilvl w:val="0"/>
                <w:numId w:val="0"/>
              </w:numPr>
              <w:spacing w:line="360" w:lineRule="auto"/>
              <w:jc w:val="center"/>
              <w:rPr>
                <w:rFonts w:hint="default" w:ascii="宋体" w:hAnsi="宋体" w:eastAsia="宋体" w:cs="宋体"/>
                <w:b/>
                <w:bCs/>
                <w:color w:val="auto"/>
                <w:sz w:val="24"/>
                <w:vertAlign w:val="baseline"/>
                <w:lang w:val="en-US" w:eastAsia="zh-CN"/>
              </w:rPr>
            </w:pPr>
            <w:r>
              <w:rPr>
                <w:rFonts w:hint="eastAsia" w:ascii="宋体" w:hAnsi="宋体" w:eastAsia="宋体" w:cs="宋体"/>
                <w:b/>
                <w:bCs/>
                <w:color w:val="auto"/>
                <w:sz w:val="24"/>
                <w:vertAlign w:val="baseline"/>
                <w:lang w:val="en-US" w:eastAsia="zh-CN"/>
              </w:rPr>
              <w:t>3</w:t>
            </w:r>
          </w:p>
        </w:tc>
        <w:tc>
          <w:tcPr>
            <w:tcW w:w="2796" w:type="dxa"/>
            <w:noWrap w:val="0"/>
            <w:vAlign w:val="center"/>
          </w:tcPr>
          <w:p w14:paraId="4EA0F9B4">
            <w:pPr>
              <w:numPr>
                <w:ilvl w:val="0"/>
                <w:numId w:val="0"/>
              </w:numPr>
              <w:spacing w:line="360" w:lineRule="auto"/>
              <w:jc w:val="center"/>
              <w:rPr>
                <w:rFonts w:hint="default" w:ascii="宋体" w:hAnsi="宋体" w:eastAsia="宋体" w:cs="宋体"/>
                <w:b/>
                <w:bCs/>
                <w:color w:val="auto"/>
                <w:sz w:val="24"/>
                <w:vertAlign w:val="baseline"/>
                <w:lang w:val="en-US" w:eastAsia="zh-CN"/>
              </w:rPr>
            </w:pPr>
            <w:r>
              <w:rPr>
                <w:rFonts w:hint="eastAsia" w:ascii="宋体" w:hAnsi="宋体" w:eastAsia="宋体" w:cs="宋体"/>
                <w:color w:val="auto"/>
                <w:sz w:val="24"/>
                <w:lang w:val="en-US" w:eastAsia="zh-CN"/>
              </w:rPr>
              <w:t>海绵</w:t>
            </w:r>
          </w:p>
        </w:tc>
        <w:tc>
          <w:tcPr>
            <w:tcW w:w="1980" w:type="dxa"/>
            <w:noWrap w:val="0"/>
            <w:vAlign w:val="center"/>
          </w:tcPr>
          <w:p w14:paraId="23B871E7">
            <w:pPr>
              <w:numPr>
                <w:ilvl w:val="0"/>
                <w:numId w:val="0"/>
              </w:numPr>
              <w:spacing w:line="360" w:lineRule="auto"/>
              <w:jc w:val="center"/>
              <w:rPr>
                <w:rFonts w:hint="default" w:ascii="宋体" w:hAnsi="宋体" w:eastAsia="宋体" w:cs="宋体"/>
                <w:b/>
                <w:bCs/>
                <w:color w:val="auto"/>
                <w:sz w:val="24"/>
                <w:vertAlign w:val="baseline"/>
                <w:lang w:val="en-US" w:eastAsia="zh-CN"/>
              </w:rPr>
            </w:pPr>
          </w:p>
        </w:tc>
        <w:tc>
          <w:tcPr>
            <w:tcW w:w="1290" w:type="dxa"/>
            <w:noWrap w:val="0"/>
            <w:vAlign w:val="center"/>
          </w:tcPr>
          <w:p w14:paraId="26A90B1D">
            <w:pPr>
              <w:numPr>
                <w:ilvl w:val="0"/>
                <w:numId w:val="0"/>
              </w:numPr>
              <w:spacing w:line="360" w:lineRule="auto"/>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套</w:t>
            </w:r>
          </w:p>
        </w:tc>
        <w:tc>
          <w:tcPr>
            <w:tcW w:w="1928" w:type="dxa"/>
            <w:noWrap w:val="0"/>
            <w:vAlign w:val="center"/>
          </w:tcPr>
          <w:p w14:paraId="2D447499">
            <w:pPr>
              <w:numPr>
                <w:ilvl w:val="0"/>
                <w:numId w:val="0"/>
              </w:numPr>
              <w:spacing w:line="360" w:lineRule="auto"/>
              <w:jc w:val="center"/>
              <w:rPr>
                <w:rFonts w:hint="default" w:ascii="宋体" w:hAnsi="宋体" w:eastAsia="宋体" w:cs="宋体"/>
                <w:b/>
                <w:bCs/>
                <w:color w:val="auto"/>
                <w:sz w:val="24"/>
                <w:vertAlign w:val="baseline"/>
                <w:lang w:val="en-US" w:eastAsia="zh-CN"/>
              </w:rPr>
            </w:pPr>
            <w:r>
              <w:rPr>
                <w:rFonts w:hint="eastAsia" w:ascii="宋体" w:hAnsi="宋体" w:eastAsia="宋体" w:cs="宋体"/>
                <w:b/>
                <w:bCs/>
                <w:color w:val="auto"/>
                <w:sz w:val="24"/>
                <w:vertAlign w:val="baseline"/>
                <w:lang w:val="en-US" w:eastAsia="zh-CN"/>
              </w:rPr>
              <w:t>视使用情况而定</w:t>
            </w:r>
          </w:p>
        </w:tc>
      </w:tr>
      <w:tr w14:paraId="51AF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5D01AE54">
            <w:pPr>
              <w:numPr>
                <w:ilvl w:val="0"/>
                <w:numId w:val="0"/>
              </w:numPr>
              <w:spacing w:line="360" w:lineRule="auto"/>
              <w:jc w:val="center"/>
              <w:rPr>
                <w:rFonts w:hint="default" w:ascii="宋体" w:hAnsi="宋体" w:eastAsia="宋体" w:cs="宋体"/>
                <w:b/>
                <w:bCs/>
                <w:color w:val="auto"/>
                <w:sz w:val="24"/>
                <w:vertAlign w:val="baseline"/>
                <w:lang w:val="en-US" w:eastAsia="zh-CN"/>
              </w:rPr>
            </w:pPr>
            <w:r>
              <w:rPr>
                <w:rFonts w:hint="eastAsia" w:ascii="宋体" w:hAnsi="宋体" w:eastAsia="宋体" w:cs="宋体"/>
                <w:b/>
                <w:bCs/>
                <w:color w:val="auto"/>
                <w:sz w:val="24"/>
                <w:vertAlign w:val="baseline"/>
                <w:lang w:val="en-US" w:eastAsia="zh-CN"/>
              </w:rPr>
              <w:t>4</w:t>
            </w:r>
          </w:p>
        </w:tc>
        <w:tc>
          <w:tcPr>
            <w:tcW w:w="2796" w:type="dxa"/>
            <w:noWrap w:val="0"/>
            <w:vAlign w:val="center"/>
          </w:tcPr>
          <w:p w14:paraId="4DDA43D6">
            <w:pPr>
              <w:numPr>
                <w:ilvl w:val="0"/>
                <w:numId w:val="0"/>
              </w:numPr>
              <w:spacing w:line="360" w:lineRule="auto"/>
              <w:jc w:val="center"/>
              <w:rPr>
                <w:rFonts w:hint="default" w:ascii="宋体" w:hAnsi="宋体" w:eastAsia="宋体" w:cs="宋体"/>
                <w:b/>
                <w:bCs/>
                <w:color w:val="auto"/>
                <w:sz w:val="24"/>
                <w:vertAlign w:val="baseline"/>
                <w:lang w:val="en-US" w:eastAsia="zh-CN"/>
              </w:rPr>
            </w:pPr>
            <w:r>
              <w:rPr>
                <w:rFonts w:hint="eastAsia" w:ascii="宋体" w:hAnsi="宋体" w:eastAsia="宋体" w:cs="宋体"/>
                <w:color w:val="auto"/>
                <w:sz w:val="24"/>
                <w:lang w:val="en-US" w:eastAsia="zh-CN"/>
              </w:rPr>
              <w:t>光电传感器</w:t>
            </w:r>
          </w:p>
        </w:tc>
        <w:tc>
          <w:tcPr>
            <w:tcW w:w="1980" w:type="dxa"/>
            <w:noWrap w:val="0"/>
            <w:vAlign w:val="center"/>
          </w:tcPr>
          <w:p w14:paraId="0E21D422">
            <w:pPr>
              <w:numPr>
                <w:ilvl w:val="0"/>
                <w:numId w:val="0"/>
              </w:numPr>
              <w:spacing w:line="360" w:lineRule="auto"/>
              <w:jc w:val="center"/>
              <w:rPr>
                <w:rFonts w:hint="default" w:ascii="宋体" w:hAnsi="宋体" w:eastAsia="宋体" w:cs="宋体"/>
                <w:b/>
                <w:bCs/>
                <w:color w:val="auto"/>
                <w:sz w:val="24"/>
                <w:vertAlign w:val="baseline"/>
                <w:lang w:val="en-US" w:eastAsia="zh-CN"/>
              </w:rPr>
            </w:pPr>
          </w:p>
        </w:tc>
        <w:tc>
          <w:tcPr>
            <w:tcW w:w="1290" w:type="dxa"/>
            <w:noWrap w:val="0"/>
            <w:vAlign w:val="center"/>
          </w:tcPr>
          <w:p w14:paraId="5D2FEAE6">
            <w:pPr>
              <w:numPr>
                <w:ilvl w:val="0"/>
                <w:numId w:val="0"/>
              </w:numPr>
              <w:spacing w:line="360" w:lineRule="auto"/>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个</w:t>
            </w:r>
          </w:p>
        </w:tc>
        <w:tc>
          <w:tcPr>
            <w:tcW w:w="1928" w:type="dxa"/>
            <w:noWrap w:val="0"/>
            <w:vAlign w:val="center"/>
          </w:tcPr>
          <w:p w14:paraId="6B50C644">
            <w:pPr>
              <w:numPr>
                <w:ilvl w:val="0"/>
                <w:numId w:val="0"/>
              </w:numPr>
              <w:spacing w:line="360" w:lineRule="auto"/>
              <w:jc w:val="center"/>
              <w:rPr>
                <w:rFonts w:hint="default" w:ascii="宋体" w:hAnsi="宋体" w:eastAsia="宋体" w:cs="宋体"/>
                <w:b/>
                <w:bCs/>
                <w:color w:val="auto"/>
                <w:sz w:val="24"/>
                <w:vertAlign w:val="baseline"/>
                <w:lang w:val="en-US" w:eastAsia="zh-CN"/>
              </w:rPr>
            </w:pPr>
            <w:r>
              <w:rPr>
                <w:rFonts w:hint="eastAsia" w:ascii="宋体" w:hAnsi="宋体" w:eastAsia="宋体" w:cs="宋体"/>
                <w:b/>
                <w:bCs/>
                <w:color w:val="auto"/>
                <w:sz w:val="24"/>
                <w:vertAlign w:val="baseline"/>
                <w:lang w:val="en-US" w:eastAsia="zh-CN"/>
              </w:rPr>
              <w:t>9个月</w:t>
            </w:r>
          </w:p>
        </w:tc>
      </w:tr>
      <w:tr w14:paraId="240B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15D6C6AA">
            <w:pPr>
              <w:numPr>
                <w:ilvl w:val="0"/>
                <w:numId w:val="0"/>
              </w:numPr>
              <w:spacing w:line="360" w:lineRule="auto"/>
              <w:jc w:val="center"/>
              <w:rPr>
                <w:rFonts w:hint="default" w:ascii="宋体" w:hAnsi="宋体" w:eastAsia="宋体" w:cs="宋体"/>
                <w:b/>
                <w:bCs/>
                <w:color w:val="auto"/>
                <w:sz w:val="24"/>
                <w:vertAlign w:val="baseline"/>
                <w:lang w:val="en-US" w:eastAsia="zh-CN"/>
              </w:rPr>
            </w:pPr>
            <w:r>
              <w:rPr>
                <w:rFonts w:hint="eastAsia" w:ascii="宋体" w:hAnsi="宋体" w:eastAsia="宋体" w:cs="宋体"/>
                <w:b/>
                <w:bCs/>
                <w:color w:val="auto"/>
                <w:sz w:val="24"/>
                <w:vertAlign w:val="baseline"/>
                <w:lang w:val="en-US" w:eastAsia="zh-CN"/>
              </w:rPr>
              <w:t>5</w:t>
            </w:r>
          </w:p>
        </w:tc>
        <w:tc>
          <w:tcPr>
            <w:tcW w:w="2796" w:type="dxa"/>
            <w:noWrap w:val="0"/>
            <w:vAlign w:val="center"/>
          </w:tcPr>
          <w:p w14:paraId="120437B7">
            <w:pPr>
              <w:numPr>
                <w:ilvl w:val="0"/>
                <w:numId w:val="0"/>
              </w:numPr>
              <w:spacing w:line="360" w:lineRule="auto"/>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硬盘（含软件安装调试）</w:t>
            </w:r>
          </w:p>
        </w:tc>
        <w:tc>
          <w:tcPr>
            <w:tcW w:w="1980" w:type="dxa"/>
            <w:noWrap w:val="0"/>
            <w:vAlign w:val="center"/>
          </w:tcPr>
          <w:p w14:paraId="34801803">
            <w:pPr>
              <w:numPr>
                <w:ilvl w:val="0"/>
                <w:numId w:val="0"/>
              </w:numPr>
              <w:spacing w:line="360" w:lineRule="auto"/>
              <w:jc w:val="center"/>
              <w:rPr>
                <w:rFonts w:hint="default" w:ascii="宋体" w:hAnsi="宋体" w:eastAsia="宋体" w:cs="宋体"/>
                <w:b/>
                <w:bCs/>
                <w:color w:val="auto"/>
                <w:sz w:val="24"/>
                <w:vertAlign w:val="baseline"/>
                <w:lang w:val="en-US" w:eastAsia="zh-CN"/>
              </w:rPr>
            </w:pPr>
          </w:p>
        </w:tc>
        <w:tc>
          <w:tcPr>
            <w:tcW w:w="1290" w:type="dxa"/>
            <w:noWrap w:val="0"/>
            <w:vAlign w:val="center"/>
          </w:tcPr>
          <w:p w14:paraId="62203D0B">
            <w:pPr>
              <w:numPr>
                <w:ilvl w:val="0"/>
                <w:numId w:val="0"/>
              </w:numPr>
              <w:spacing w:line="360" w:lineRule="auto"/>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套</w:t>
            </w:r>
          </w:p>
        </w:tc>
        <w:tc>
          <w:tcPr>
            <w:tcW w:w="1928" w:type="dxa"/>
            <w:noWrap w:val="0"/>
            <w:vAlign w:val="center"/>
          </w:tcPr>
          <w:p w14:paraId="367D56FD">
            <w:pPr>
              <w:numPr>
                <w:ilvl w:val="0"/>
                <w:numId w:val="0"/>
              </w:numPr>
              <w:spacing w:line="360" w:lineRule="auto"/>
              <w:jc w:val="center"/>
              <w:rPr>
                <w:rFonts w:hint="default" w:ascii="宋体" w:hAnsi="宋体" w:eastAsia="宋体" w:cs="宋体"/>
                <w:b/>
                <w:bCs/>
                <w:color w:val="auto"/>
                <w:sz w:val="24"/>
                <w:vertAlign w:val="baseline"/>
                <w:lang w:val="en-US" w:eastAsia="zh-CN"/>
              </w:rPr>
            </w:pPr>
            <w:r>
              <w:rPr>
                <w:rFonts w:hint="eastAsia" w:ascii="宋体" w:hAnsi="宋体" w:eastAsia="宋体" w:cs="宋体"/>
                <w:b/>
                <w:bCs/>
                <w:color w:val="auto"/>
                <w:sz w:val="24"/>
                <w:vertAlign w:val="baseline"/>
                <w:lang w:val="en-US" w:eastAsia="zh-CN"/>
              </w:rPr>
              <w:t>1.5年</w:t>
            </w:r>
          </w:p>
        </w:tc>
      </w:tr>
    </w:tbl>
    <w:p w14:paraId="24B7F73F">
      <w:pPr>
        <w:spacing w:line="360" w:lineRule="auto"/>
        <w:jc w:val="both"/>
        <w:rPr>
          <w:rFonts w:hint="eastAsia"/>
          <w:sz w:val="24"/>
          <w:szCs w:val="24"/>
          <w:lang w:val="en-US" w:eastAsia="zh-CN"/>
        </w:rPr>
      </w:pPr>
    </w:p>
    <w:p w14:paraId="23A08437">
      <w:pPr>
        <w:pStyle w:val="2"/>
        <w:rPr>
          <w:rFonts w:hint="default"/>
          <w:sz w:val="24"/>
          <w:szCs w:val="24"/>
          <w:lang w:val="en-US" w:eastAsia="zh-CN"/>
        </w:rPr>
      </w:pPr>
      <w:r>
        <w:rPr>
          <w:rFonts w:hint="eastAsia"/>
          <w:sz w:val="24"/>
          <w:szCs w:val="24"/>
          <w:lang w:val="en-US" w:eastAsia="zh-CN"/>
        </w:rPr>
        <w:t>供应商可根据实际情况补充完善</w:t>
      </w:r>
      <w:bookmarkStart w:id="0" w:name="_GoBack"/>
      <w:bookmarkEnd w:id="0"/>
      <w:r>
        <w:rPr>
          <w:rFonts w:hint="eastAsia"/>
          <w:sz w:val="24"/>
          <w:szCs w:val="24"/>
          <w:lang w:val="en-US" w:eastAsia="zh-CN"/>
        </w:rPr>
        <w:t>易耗品清单</w:t>
      </w:r>
    </w:p>
    <w:p w14:paraId="078DE988">
      <w:pPr>
        <w:rPr>
          <w:rFonts w:hint="eastAsia"/>
          <w:sz w:val="24"/>
          <w:szCs w:val="24"/>
          <w:lang w:val="en-US" w:eastAsia="zh-CN"/>
        </w:rPr>
      </w:pPr>
    </w:p>
    <w:p w14:paraId="3341A9D2">
      <w:pPr>
        <w:pStyle w:val="2"/>
        <w:rPr>
          <w:rFonts w:hint="eastAsia"/>
          <w:sz w:val="24"/>
          <w:szCs w:val="24"/>
          <w:lang w:val="en-US" w:eastAsia="zh-CN"/>
        </w:rPr>
      </w:pPr>
    </w:p>
    <w:p w14:paraId="3DB0D42E">
      <w:pPr>
        <w:rPr>
          <w:rFonts w:hint="eastAsia"/>
          <w:sz w:val="24"/>
          <w:szCs w:val="24"/>
          <w:lang w:val="en-US" w:eastAsia="zh-CN"/>
        </w:rPr>
      </w:pPr>
    </w:p>
    <w:p w14:paraId="28E98659">
      <w:pPr>
        <w:pStyle w:val="2"/>
        <w:rPr>
          <w:rFonts w:hint="eastAsia"/>
          <w:sz w:val="24"/>
          <w:szCs w:val="24"/>
          <w:lang w:val="en-US" w:eastAsia="zh-CN"/>
        </w:rPr>
      </w:pPr>
    </w:p>
    <w:p w14:paraId="30606E7D">
      <w:pPr>
        <w:rPr>
          <w:rFonts w:hint="eastAsia"/>
          <w:sz w:val="24"/>
          <w:szCs w:val="24"/>
          <w:lang w:val="en-US" w:eastAsia="zh-CN"/>
        </w:rPr>
      </w:pPr>
    </w:p>
    <w:p w14:paraId="1E0BCA28">
      <w:pPr>
        <w:pStyle w:val="2"/>
        <w:rPr>
          <w:rFonts w:hint="eastAsia"/>
          <w:sz w:val="24"/>
          <w:szCs w:val="24"/>
          <w:lang w:val="en-US" w:eastAsia="zh-CN"/>
        </w:rPr>
      </w:pPr>
    </w:p>
    <w:p w14:paraId="2462222A">
      <w:pPr>
        <w:rPr>
          <w:rFonts w:hint="eastAsia"/>
          <w:sz w:val="24"/>
          <w:szCs w:val="24"/>
          <w:lang w:val="en-US" w:eastAsia="zh-CN"/>
        </w:rPr>
      </w:pPr>
    </w:p>
    <w:p w14:paraId="765E8BC1">
      <w:pPr>
        <w:pStyle w:val="2"/>
        <w:rPr>
          <w:rFonts w:hint="eastAsia"/>
          <w:sz w:val="24"/>
          <w:szCs w:val="24"/>
          <w:lang w:val="en-US" w:eastAsia="zh-CN"/>
        </w:rPr>
      </w:pPr>
    </w:p>
    <w:p w14:paraId="5EDBEB77">
      <w:pPr>
        <w:rPr>
          <w:rFonts w:hint="eastAsia"/>
          <w:sz w:val="24"/>
          <w:szCs w:val="24"/>
          <w:lang w:val="en-US" w:eastAsia="zh-CN"/>
        </w:rPr>
      </w:pPr>
    </w:p>
    <w:p w14:paraId="42D90FEF">
      <w:pPr>
        <w:pStyle w:val="2"/>
        <w:rPr>
          <w:rFonts w:hint="eastAsia"/>
          <w:sz w:val="24"/>
          <w:szCs w:val="24"/>
          <w:lang w:val="en-US" w:eastAsia="zh-CN"/>
        </w:rPr>
      </w:pPr>
    </w:p>
    <w:p w14:paraId="0575B8C3">
      <w:pPr>
        <w:rPr>
          <w:rFonts w:hint="eastAsia"/>
          <w:sz w:val="24"/>
          <w:szCs w:val="24"/>
          <w:lang w:val="en-US" w:eastAsia="zh-CN"/>
        </w:rPr>
      </w:pPr>
    </w:p>
    <w:p w14:paraId="4E543B30">
      <w:pPr>
        <w:pStyle w:val="2"/>
        <w:rPr>
          <w:rFonts w:hint="eastAsia"/>
          <w:sz w:val="24"/>
          <w:szCs w:val="24"/>
          <w:lang w:val="en-US" w:eastAsia="zh-CN"/>
        </w:rPr>
      </w:pPr>
    </w:p>
    <w:p w14:paraId="127A070E">
      <w:pPr>
        <w:pStyle w:val="2"/>
        <w:ind w:left="0" w:leftChars="0" w:firstLine="0" w:firstLineChars="0"/>
        <w:rPr>
          <w:rFonts w:hint="eastAsia"/>
          <w:lang w:val="en-US" w:eastAsia="zh-CN"/>
        </w:rPr>
      </w:pPr>
    </w:p>
    <w:p w14:paraId="371EA935">
      <w:pPr>
        <w:rPr>
          <w:rFonts w:hint="eastAsia"/>
          <w:lang w:val="en-US" w:eastAsia="zh-CN"/>
        </w:rPr>
      </w:pPr>
    </w:p>
    <w:p w14:paraId="3A922B12">
      <w:pPr>
        <w:pStyle w:val="2"/>
        <w:spacing w:before="0" w:after="0"/>
        <w:ind w:left="0" w:leftChars="0"/>
        <w:rPr>
          <w:rFonts w:hint="eastAsia"/>
          <w:lang w:val="en-US" w:eastAsia="zh-CN"/>
        </w:rPr>
      </w:pPr>
    </w:p>
    <w:p w14:paraId="608C218C">
      <w:pPr>
        <w:rPr>
          <w:rFonts w:hint="eastAsia"/>
          <w:lang w:val="en-US" w:eastAsia="zh-CN"/>
        </w:rPr>
      </w:pPr>
    </w:p>
    <w:p w14:paraId="6AB2FF50">
      <w:pPr>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附件三：</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年度维护考核表》</w:t>
      </w:r>
    </w:p>
    <w:p w14:paraId="7DA5F622">
      <w:pPr>
        <w:pStyle w:val="2"/>
        <w:rPr>
          <w:rFonts w:hint="eastAsia"/>
          <w:lang w:val="en-US" w:eastAsia="zh-CN"/>
        </w:rPr>
      </w:pPr>
      <w:r>
        <w:rPr>
          <w:rFonts w:hint="eastAsia"/>
          <w:lang w:val="en-US" w:eastAsia="zh-CN"/>
        </w:rPr>
        <w:t>院方管理科室每年度对成交供应商进行综合考核，考核内容详见考核表。</w:t>
      </w:r>
    </w:p>
    <w:p w14:paraId="24571912">
      <w:pPr>
        <w:pStyle w:val="2"/>
        <w:numPr>
          <w:ilvl w:val="0"/>
          <w:numId w:val="2"/>
        </w:numPr>
        <w:rPr>
          <w:rFonts w:hint="eastAsia" w:ascii="宋体" w:hAnsi="宋体" w:eastAsia="宋体" w:cs="宋体"/>
          <w:b w:val="0"/>
          <w:kern w:val="2"/>
          <w:sz w:val="24"/>
          <w:szCs w:val="24"/>
          <w:lang w:val="en-US" w:eastAsia="zh-CN" w:bidi="ar-SA"/>
        </w:rPr>
      </w:pPr>
      <w:r>
        <w:rPr>
          <w:rFonts w:hint="eastAsia"/>
          <w:lang w:val="en-US" w:eastAsia="zh-CN"/>
        </w:rPr>
        <w:t>考核分数 ≥ 85分：</w:t>
      </w:r>
      <w:r>
        <w:rPr>
          <w:rFonts w:hint="eastAsia" w:ascii="宋体" w:hAnsi="宋体" w:eastAsia="宋体" w:cs="宋体"/>
          <w:b w:val="0"/>
          <w:kern w:val="2"/>
          <w:sz w:val="24"/>
          <w:szCs w:val="24"/>
          <w:lang w:val="en-US" w:eastAsia="zh-CN" w:bidi="ar-SA"/>
        </w:rPr>
        <w:t>视为优秀。全额支付该年度维保费用，并可续签下一年度维保合同。</w:t>
      </w:r>
    </w:p>
    <w:p w14:paraId="3469F22B">
      <w:pPr>
        <w:pStyle w:val="2"/>
        <w:numPr>
          <w:ilvl w:val="0"/>
          <w:numId w:val="2"/>
        </w:numPr>
        <w:rPr>
          <w:rFonts w:hint="eastAsia"/>
          <w:lang w:val="en-US" w:eastAsia="zh-CN"/>
        </w:rPr>
      </w:pPr>
      <w:r>
        <w:rPr>
          <w:rFonts w:hint="eastAsia"/>
          <w:lang w:val="en-US" w:eastAsia="zh-CN"/>
        </w:rPr>
        <w:t>考核分数 80 - 85分：</w:t>
      </w:r>
      <w:r>
        <w:rPr>
          <w:rFonts w:hint="eastAsia"/>
          <w:b w:val="0"/>
          <w:bCs/>
          <w:lang w:val="en-US" w:eastAsia="zh-CN"/>
        </w:rPr>
        <w:t>视</w:t>
      </w:r>
      <w:r>
        <w:rPr>
          <w:rFonts w:hint="eastAsia" w:ascii="宋体" w:hAnsi="宋体" w:eastAsia="宋体" w:cs="宋体"/>
          <w:b w:val="0"/>
          <w:kern w:val="2"/>
          <w:sz w:val="24"/>
          <w:szCs w:val="24"/>
          <w:lang w:val="en-US" w:eastAsia="zh-CN" w:bidi="ar-SA"/>
        </w:rPr>
        <w:t>为良好。支付该年度剩余维保费用。</w:t>
      </w:r>
    </w:p>
    <w:p w14:paraId="18A35774">
      <w:pPr>
        <w:pStyle w:val="2"/>
        <w:numPr>
          <w:ilvl w:val="0"/>
          <w:numId w:val="2"/>
        </w:numPr>
        <w:rPr>
          <w:rFonts w:hint="eastAsia"/>
          <w:b w:val="0"/>
          <w:bCs/>
          <w:lang w:val="en-US" w:eastAsia="zh-CN"/>
        </w:rPr>
      </w:pPr>
      <w:r>
        <w:rPr>
          <w:rFonts w:hint="eastAsia"/>
          <w:lang w:val="en-US" w:eastAsia="zh-CN"/>
        </w:rPr>
        <w:t>考核分数 70 - 79分：</w:t>
      </w:r>
      <w:r>
        <w:rPr>
          <w:rFonts w:hint="eastAsia"/>
          <w:b w:val="0"/>
          <w:bCs/>
          <w:lang w:val="en-US" w:eastAsia="zh-CN"/>
        </w:rPr>
        <w:t>视为合格。支付该年度维保费用的 97% 。乙方需就扣分项向甲方提交书面说明及整改计划。</w:t>
      </w:r>
    </w:p>
    <w:p w14:paraId="4134F572">
      <w:pPr>
        <w:pStyle w:val="2"/>
        <w:numPr>
          <w:ilvl w:val="0"/>
          <w:numId w:val="2"/>
        </w:numPr>
        <w:rPr>
          <w:rFonts w:hint="eastAsia"/>
          <w:lang w:val="en-US" w:eastAsia="zh-CN"/>
        </w:rPr>
      </w:pPr>
      <w:r>
        <w:rPr>
          <w:rFonts w:hint="eastAsia"/>
          <w:lang w:val="en-US" w:eastAsia="zh-CN"/>
        </w:rPr>
        <w:t>考核分数 60 - 69分：</w:t>
      </w:r>
      <w:r>
        <w:rPr>
          <w:rFonts w:hint="eastAsia"/>
          <w:b w:val="0"/>
          <w:bCs/>
          <w:lang w:val="en-US" w:eastAsia="zh-CN"/>
        </w:rPr>
        <w:t>视为基本合格。支付该年度维保费用的 95% 。乙方必须在收到考核结果后10个工作日内，向甲方提交详细的书面整改报告，并与甲方召开专题会议共同商讨改进方案。</w:t>
      </w:r>
    </w:p>
    <w:p w14:paraId="4859E21B">
      <w:pPr>
        <w:pStyle w:val="2"/>
        <w:numPr>
          <w:ilvl w:val="0"/>
          <w:numId w:val="2"/>
        </w:numPr>
        <w:rPr>
          <w:rFonts w:hint="eastAsia"/>
          <w:b w:val="0"/>
          <w:bCs/>
          <w:lang w:val="en-US" w:eastAsia="zh-CN"/>
        </w:rPr>
      </w:pPr>
      <w:r>
        <w:rPr>
          <w:rFonts w:hint="eastAsia"/>
          <w:lang w:val="en-US" w:eastAsia="zh-CN"/>
        </w:rPr>
        <w:t>考核分数 ＜ 60分：</w:t>
      </w:r>
      <w:r>
        <w:rPr>
          <w:rFonts w:hint="eastAsia"/>
          <w:b w:val="0"/>
          <w:bCs/>
          <w:lang w:val="en-US" w:eastAsia="zh-CN"/>
        </w:rPr>
        <w:t>视为不合格。支付该年度维保费用的 90% 。甲方有权要求乙方更换项目经理或核心技术人员。乙方必须限期整改，并接受甲方的复审。</w:t>
      </w:r>
    </w:p>
    <w:p w14:paraId="781B43BF">
      <w:pPr>
        <w:rPr>
          <w:rFonts w:hint="eastAsia"/>
          <w:lang w:val="en-US" w:eastAsia="zh-CN"/>
        </w:rPr>
      </w:pPr>
    </w:p>
    <w:tbl>
      <w:tblPr>
        <w:tblStyle w:val="4"/>
        <w:tblW w:w="10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32" w:type="dxa"/>
          <w:left w:w="64" w:type="dxa"/>
          <w:bottom w:w="32" w:type="dxa"/>
          <w:right w:w="64" w:type="dxa"/>
        </w:tblCellMar>
      </w:tblPr>
      <w:tblGrid>
        <w:gridCol w:w="1494"/>
        <w:gridCol w:w="821"/>
        <w:gridCol w:w="488"/>
        <w:gridCol w:w="6009"/>
        <w:gridCol w:w="1614"/>
        <w:gridCol w:w="479"/>
      </w:tblGrid>
      <w:tr w14:paraId="4715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10905" w:type="dxa"/>
            <w:gridSpan w:val="6"/>
            <w:noWrap/>
            <w:vAlign w:val="center"/>
          </w:tcPr>
          <w:p w14:paraId="6B8B8DFD">
            <w:pPr>
              <w:snapToGrid w:val="0"/>
              <w:spacing w:after="100" w:afterAutospacing="1" w:line="32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年</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eastAsia="zh-CN"/>
              </w:rPr>
              <w:t>月</w:t>
            </w:r>
            <w:r>
              <w:rPr>
                <w:rFonts w:hint="eastAsia" w:ascii="宋体" w:hAnsi="宋体" w:eastAsia="宋体" w:cs="宋体"/>
                <w:b/>
                <w:bCs/>
                <w:color w:val="auto"/>
                <w:sz w:val="24"/>
                <w:szCs w:val="24"/>
                <w:highlight w:val="none"/>
                <w:lang w:val="en-US" w:eastAsia="zh-CN"/>
              </w:rPr>
              <w:t xml:space="preserve">    日</w:t>
            </w:r>
            <w:r>
              <w:rPr>
                <w:rFonts w:hint="eastAsia" w:ascii="宋体" w:hAnsi="宋体" w:eastAsia="宋体" w:cs="宋体"/>
                <w:b/>
                <w:bCs/>
                <w:color w:val="auto"/>
                <w:sz w:val="24"/>
                <w:szCs w:val="24"/>
                <w:highlight w:val="none"/>
                <w:lang w:eastAsia="zh-CN"/>
              </w:rPr>
              <w:t>，气动物流系统维保服务综合考核表</w:t>
            </w:r>
          </w:p>
        </w:tc>
      </w:tr>
      <w:tr w14:paraId="0042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1588" w:type="dxa"/>
            <w:noWrap w:val="0"/>
            <w:vAlign w:val="center"/>
          </w:tcPr>
          <w:p w14:paraId="7A13D1ED">
            <w:pPr>
              <w:snapToGrid w:val="0"/>
              <w:spacing w:after="100" w:afterAutospacing="1" w:line="32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项目</w:t>
            </w:r>
          </w:p>
        </w:tc>
        <w:tc>
          <w:tcPr>
            <w:tcW w:w="821" w:type="dxa"/>
            <w:noWrap w:val="0"/>
            <w:vAlign w:val="center"/>
          </w:tcPr>
          <w:p w14:paraId="726B750C">
            <w:pPr>
              <w:snapToGrid w:val="0"/>
              <w:spacing w:after="100" w:afterAutospacing="1" w:line="32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指标</w:t>
            </w:r>
          </w:p>
        </w:tc>
        <w:tc>
          <w:tcPr>
            <w:tcW w:w="394" w:type="dxa"/>
            <w:noWrap w:val="0"/>
            <w:vAlign w:val="center"/>
          </w:tcPr>
          <w:p w14:paraId="6E82478A">
            <w:pPr>
              <w:snapToGrid w:val="0"/>
              <w:spacing w:after="100" w:afterAutospacing="1" w:line="32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分值</w:t>
            </w:r>
          </w:p>
        </w:tc>
        <w:tc>
          <w:tcPr>
            <w:tcW w:w="6009" w:type="dxa"/>
            <w:noWrap w:val="0"/>
            <w:vAlign w:val="center"/>
          </w:tcPr>
          <w:p w14:paraId="37C7CA18">
            <w:pPr>
              <w:snapToGrid w:val="0"/>
              <w:spacing w:after="100" w:afterAutospacing="1" w:line="32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具体考评内容</w:t>
            </w:r>
          </w:p>
        </w:tc>
        <w:tc>
          <w:tcPr>
            <w:tcW w:w="1614" w:type="dxa"/>
            <w:noWrap w:val="0"/>
            <w:vAlign w:val="center"/>
          </w:tcPr>
          <w:p w14:paraId="5CE80629">
            <w:pPr>
              <w:snapToGrid w:val="0"/>
              <w:spacing w:after="100" w:afterAutospacing="1" w:line="32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备注</w:t>
            </w:r>
          </w:p>
        </w:tc>
        <w:tc>
          <w:tcPr>
            <w:tcW w:w="479" w:type="dxa"/>
            <w:noWrap/>
            <w:vAlign w:val="center"/>
          </w:tcPr>
          <w:p w14:paraId="3998E973">
            <w:pPr>
              <w:snapToGrid w:val="0"/>
              <w:spacing w:after="100" w:afterAutospacing="1" w:line="32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得分</w:t>
            </w:r>
          </w:p>
        </w:tc>
      </w:tr>
      <w:tr w14:paraId="76E5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restart"/>
            <w:noWrap w:val="0"/>
            <w:vAlign w:val="center"/>
          </w:tcPr>
          <w:p w14:paraId="7511DC17">
            <w:pPr>
              <w:snapToGrid w:val="0"/>
              <w:spacing w:after="100" w:afterAutospacing="1" w:line="32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气动物流系统维保服务</w:t>
            </w:r>
          </w:p>
        </w:tc>
        <w:tc>
          <w:tcPr>
            <w:tcW w:w="821" w:type="dxa"/>
            <w:noWrap w:val="0"/>
            <w:vAlign w:val="center"/>
          </w:tcPr>
          <w:p w14:paraId="3646632B">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员工形象</w:t>
            </w:r>
          </w:p>
        </w:tc>
        <w:tc>
          <w:tcPr>
            <w:tcW w:w="394" w:type="dxa"/>
            <w:noWrap w:val="0"/>
            <w:vAlign w:val="center"/>
          </w:tcPr>
          <w:p w14:paraId="7AA92A53">
            <w:pPr>
              <w:snapToGrid w:val="0"/>
              <w:spacing w:after="100" w:afterAutospacing="1" w:line="32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6009" w:type="dxa"/>
            <w:noWrap w:val="0"/>
            <w:vAlign w:val="center"/>
          </w:tcPr>
          <w:p w14:paraId="21F97C0B">
            <w:pPr>
              <w:snapToGrid w:val="0"/>
              <w:spacing w:after="100" w:afterAutospacing="1" w:line="32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工作人员</w:t>
            </w:r>
            <w:r>
              <w:rPr>
                <w:rFonts w:hint="eastAsia" w:ascii="宋体" w:hAnsi="宋体" w:eastAsia="宋体" w:cs="宋体"/>
                <w:color w:val="auto"/>
                <w:sz w:val="24"/>
                <w:szCs w:val="24"/>
                <w:highlight w:val="none"/>
                <w:lang w:val="en-US" w:eastAsia="zh-CN"/>
              </w:rPr>
              <w:t>穿着</w:t>
            </w:r>
            <w:r>
              <w:rPr>
                <w:rFonts w:hint="eastAsia" w:ascii="宋体" w:hAnsi="宋体" w:eastAsia="宋体" w:cs="宋体"/>
                <w:color w:val="auto"/>
                <w:sz w:val="24"/>
                <w:szCs w:val="24"/>
                <w:highlight w:val="none"/>
              </w:rPr>
              <w:t>工作装，衣着整洁</w:t>
            </w:r>
            <w:r>
              <w:rPr>
                <w:rFonts w:hint="eastAsia" w:ascii="宋体" w:hAnsi="宋体" w:eastAsia="宋体" w:cs="宋体"/>
                <w:color w:val="auto"/>
                <w:sz w:val="24"/>
                <w:szCs w:val="24"/>
                <w:highlight w:val="none"/>
                <w:lang w:eastAsia="zh-CN"/>
              </w:rPr>
              <w:t>。</w:t>
            </w:r>
          </w:p>
        </w:tc>
        <w:tc>
          <w:tcPr>
            <w:tcW w:w="1614" w:type="dxa"/>
            <w:noWrap w:val="0"/>
            <w:vAlign w:val="center"/>
          </w:tcPr>
          <w:p w14:paraId="0BC235F9">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每发现一名员工形象未达到要求扣 1分，扣完为止。</w:t>
            </w:r>
          </w:p>
        </w:tc>
        <w:tc>
          <w:tcPr>
            <w:tcW w:w="479" w:type="dxa"/>
            <w:noWrap/>
            <w:vAlign w:val="center"/>
          </w:tcPr>
          <w:p w14:paraId="1F354A64">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385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42A256E2">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noWrap w:val="0"/>
            <w:vAlign w:val="center"/>
          </w:tcPr>
          <w:p w14:paraId="53CF7CDD">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员工资质</w:t>
            </w:r>
          </w:p>
        </w:tc>
        <w:tc>
          <w:tcPr>
            <w:tcW w:w="394" w:type="dxa"/>
            <w:noWrap w:val="0"/>
            <w:vAlign w:val="center"/>
          </w:tcPr>
          <w:p w14:paraId="4D299DE7">
            <w:pPr>
              <w:snapToGrid w:val="0"/>
              <w:spacing w:after="100" w:afterAutospacing="1" w:line="32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6009" w:type="dxa"/>
            <w:noWrap w:val="0"/>
            <w:vAlign w:val="center"/>
          </w:tcPr>
          <w:p w14:paraId="4B9D55B9">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应持有相关授权证书的专业人员。</w:t>
            </w:r>
          </w:p>
        </w:tc>
        <w:tc>
          <w:tcPr>
            <w:tcW w:w="1614" w:type="dxa"/>
            <w:noWrap w:val="0"/>
            <w:vAlign w:val="center"/>
          </w:tcPr>
          <w:p w14:paraId="176D7369">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每发现1例不符合扣1分，扣完为止。</w:t>
            </w:r>
          </w:p>
        </w:tc>
        <w:tc>
          <w:tcPr>
            <w:tcW w:w="479" w:type="dxa"/>
            <w:noWrap/>
            <w:vAlign w:val="center"/>
          </w:tcPr>
          <w:p w14:paraId="79CF1D3E">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6867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364E2835">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restart"/>
            <w:noWrap w:val="0"/>
            <w:vAlign w:val="center"/>
          </w:tcPr>
          <w:p w14:paraId="01FF8D14">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气动物流系统全面维护保养</w:t>
            </w:r>
          </w:p>
        </w:tc>
        <w:tc>
          <w:tcPr>
            <w:tcW w:w="394" w:type="dxa"/>
            <w:noWrap w:val="0"/>
            <w:vAlign w:val="center"/>
          </w:tcPr>
          <w:p w14:paraId="4924F2B3">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6009" w:type="dxa"/>
            <w:noWrap w:val="0"/>
            <w:vAlign w:val="center"/>
          </w:tcPr>
          <w:p w14:paraId="0ADED19E">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1、定期每</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月对站点、配套</w:t>
            </w:r>
            <w:r>
              <w:rPr>
                <w:rFonts w:hint="eastAsia" w:ascii="宋体" w:hAnsi="宋体" w:eastAsia="宋体" w:cs="宋体"/>
                <w:color w:val="auto"/>
                <w:sz w:val="24"/>
                <w:szCs w:val="24"/>
                <w:highlight w:val="none"/>
                <w:lang w:val="en-US" w:eastAsia="zh-CN"/>
              </w:rPr>
              <w:t>设备</w:t>
            </w:r>
            <w:r>
              <w:rPr>
                <w:rFonts w:hint="eastAsia" w:ascii="宋体" w:hAnsi="宋体" w:eastAsia="宋体" w:cs="宋体"/>
                <w:color w:val="auto"/>
                <w:sz w:val="24"/>
                <w:szCs w:val="24"/>
                <w:highlight w:val="none"/>
              </w:rPr>
              <w:t>的使用及运行进行检查、维护；</w:t>
            </w:r>
          </w:p>
        </w:tc>
        <w:tc>
          <w:tcPr>
            <w:tcW w:w="1614" w:type="dxa"/>
            <w:vMerge w:val="restart"/>
            <w:noWrap w:val="0"/>
            <w:vAlign w:val="center"/>
          </w:tcPr>
          <w:p w14:paraId="12D2349B">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每发现1例不符合扣 1分，扣完为止。</w:t>
            </w:r>
          </w:p>
        </w:tc>
        <w:tc>
          <w:tcPr>
            <w:tcW w:w="479" w:type="dxa"/>
            <w:noWrap/>
            <w:vAlign w:val="center"/>
          </w:tcPr>
          <w:p w14:paraId="7CDC5934">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D47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2977015C">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4ECC6864">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098C9FE1">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009" w:type="dxa"/>
            <w:noWrap w:val="0"/>
            <w:vAlign w:val="center"/>
          </w:tcPr>
          <w:p w14:paraId="2BB17403">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2、每季度对风机、转换器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站点</w:t>
            </w:r>
            <w:r>
              <w:rPr>
                <w:rFonts w:hint="eastAsia" w:ascii="宋体" w:hAnsi="宋体" w:eastAsia="宋体" w:cs="宋体"/>
                <w:color w:val="auto"/>
                <w:sz w:val="24"/>
                <w:szCs w:val="24"/>
                <w:highlight w:val="none"/>
              </w:rPr>
              <w:t>等运行情况进行检查、维护；</w:t>
            </w:r>
          </w:p>
        </w:tc>
        <w:tc>
          <w:tcPr>
            <w:tcW w:w="1614" w:type="dxa"/>
            <w:vMerge w:val="continue"/>
            <w:noWrap w:val="0"/>
            <w:vAlign w:val="center"/>
          </w:tcPr>
          <w:p w14:paraId="5A8C7EC4">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6B628BE0">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24CC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3024C348">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103453EB">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31B45435">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6009" w:type="dxa"/>
            <w:noWrap w:val="0"/>
            <w:vAlign w:val="center"/>
          </w:tcPr>
          <w:p w14:paraId="60A30A9A">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3、对检查发现的问题及缺陷进行维修，对各部件，如感应器、链条、密封圈、轴承、发送筒、接收槽、马达、线路板、传输瓶等进行检查、维护保养；</w:t>
            </w:r>
          </w:p>
        </w:tc>
        <w:tc>
          <w:tcPr>
            <w:tcW w:w="1614" w:type="dxa"/>
            <w:vMerge w:val="continue"/>
            <w:noWrap w:val="0"/>
            <w:vAlign w:val="center"/>
          </w:tcPr>
          <w:p w14:paraId="39681A31">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3B7538F9">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7E19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6628CA73">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0A7DCB52">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4DE59308">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009" w:type="dxa"/>
            <w:noWrap w:val="0"/>
            <w:vAlign w:val="center"/>
          </w:tcPr>
          <w:p w14:paraId="0EB78F8E">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4、在系统的维护及检查过程中，更换定期需要更换的部件；</w:t>
            </w:r>
          </w:p>
        </w:tc>
        <w:tc>
          <w:tcPr>
            <w:tcW w:w="1614" w:type="dxa"/>
            <w:vMerge w:val="continue"/>
            <w:noWrap w:val="0"/>
            <w:vAlign w:val="center"/>
          </w:tcPr>
          <w:p w14:paraId="497F595B">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20D1062B">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1A49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7DCF73A0">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38BA8790">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0A6CE34F">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009" w:type="dxa"/>
            <w:noWrap w:val="0"/>
            <w:vAlign w:val="center"/>
          </w:tcPr>
          <w:p w14:paraId="54417F31">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5、通过远程网络技术对系统进行监控，如故障在现场不能及时解决的情况下，快速通过远程实现技术支持，保证及时快速响应及解决设备问题；</w:t>
            </w:r>
          </w:p>
        </w:tc>
        <w:tc>
          <w:tcPr>
            <w:tcW w:w="1614" w:type="dxa"/>
            <w:vMerge w:val="continue"/>
            <w:noWrap w:val="0"/>
            <w:vAlign w:val="center"/>
          </w:tcPr>
          <w:p w14:paraId="07B272CD">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0DB63603">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2952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699DC08A">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35DC5528">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00733E59">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009" w:type="dxa"/>
            <w:noWrap w:val="0"/>
            <w:vAlign w:val="center"/>
          </w:tcPr>
          <w:p w14:paraId="19F076C0">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6、如有新设备启用，对原有软件及设备程序进行系统升级；</w:t>
            </w:r>
          </w:p>
        </w:tc>
        <w:tc>
          <w:tcPr>
            <w:tcW w:w="1614" w:type="dxa"/>
            <w:vMerge w:val="continue"/>
            <w:noWrap w:val="0"/>
            <w:vAlign w:val="center"/>
          </w:tcPr>
          <w:p w14:paraId="0AE2FD04">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07F7EB96">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B88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6725B1F8">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51273B5B">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798A40EE">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009" w:type="dxa"/>
            <w:noWrap w:val="0"/>
            <w:vAlign w:val="center"/>
          </w:tcPr>
          <w:p w14:paraId="5DF2861B">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7、需清理设备内的灰尘、机房灰尘，对设备进行清洁；</w:t>
            </w:r>
          </w:p>
        </w:tc>
        <w:tc>
          <w:tcPr>
            <w:tcW w:w="1614" w:type="dxa"/>
            <w:vMerge w:val="continue"/>
            <w:noWrap w:val="0"/>
            <w:vAlign w:val="center"/>
          </w:tcPr>
          <w:p w14:paraId="2E6DF38D">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07744775">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3B86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43DB52F4">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2AA5D341">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39EBD411">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009" w:type="dxa"/>
            <w:noWrap w:val="0"/>
            <w:vAlign w:val="center"/>
          </w:tcPr>
          <w:p w14:paraId="12B8CA59">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8、系统是否按照最优方案运行，等待时间比例，各部门使用比例等；</w:t>
            </w:r>
          </w:p>
        </w:tc>
        <w:tc>
          <w:tcPr>
            <w:tcW w:w="1614" w:type="dxa"/>
            <w:vMerge w:val="continue"/>
            <w:noWrap w:val="0"/>
            <w:vAlign w:val="center"/>
          </w:tcPr>
          <w:p w14:paraId="7DD39E32">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7AAECC40">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652B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1BCA44FA">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5865E4E0">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663BF2DF">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009" w:type="dxa"/>
            <w:noWrap w:val="0"/>
            <w:vAlign w:val="center"/>
          </w:tcPr>
          <w:p w14:paraId="7FAF2F11">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9、工作站的控制面板、按键是否灵敏；</w:t>
            </w:r>
          </w:p>
        </w:tc>
        <w:tc>
          <w:tcPr>
            <w:tcW w:w="1614" w:type="dxa"/>
            <w:vMerge w:val="continue"/>
            <w:noWrap w:val="0"/>
            <w:vAlign w:val="center"/>
          </w:tcPr>
          <w:p w14:paraId="286E97B5">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18911605">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70DB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2FBF070E">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7BCAB26C">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4B7F78D8">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009" w:type="dxa"/>
            <w:noWrap w:val="0"/>
            <w:vAlign w:val="center"/>
          </w:tcPr>
          <w:p w14:paraId="547DFD7B">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10、工作站发送筒及接收槽是否稳固，密封圈是否完好、感应器是否灵敏等；</w:t>
            </w:r>
          </w:p>
        </w:tc>
        <w:tc>
          <w:tcPr>
            <w:tcW w:w="1614" w:type="dxa"/>
            <w:vMerge w:val="continue"/>
            <w:noWrap w:val="0"/>
            <w:vAlign w:val="center"/>
          </w:tcPr>
          <w:p w14:paraId="727E936E">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518A2015">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0DFE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2060133A">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0E93C38A">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6516F387">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009" w:type="dxa"/>
            <w:noWrap w:val="0"/>
            <w:vAlign w:val="center"/>
          </w:tcPr>
          <w:p w14:paraId="0349C25C">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11、转换器是否灵敏、有无堵塞、刮碰传输瓶等情况，转换节点是否需润滑；</w:t>
            </w:r>
          </w:p>
        </w:tc>
        <w:tc>
          <w:tcPr>
            <w:tcW w:w="1614" w:type="dxa"/>
            <w:vMerge w:val="continue"/>
            <w:noWrap w:val="0"/>
            <w:vAlign w:val="center"/>
          </w:tcPr>
          <w:p w14:paraId="09D3E89B">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1EFE6BAC">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5248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74741EAA">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7217888D">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1F9F4574">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009" w:type="dxa"/>
            <w:noWrap w:val="0"/>
            <w:vAlign w:val="center"/>
          </w:tcPr>
          <w:p w14:paraId="3A2C202B">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风机</w:t>
            </w:r>
            <w:r>
              <w:rPr>
                <w:rFonts w:hint="eastAsia" w:ascii="宋体" w:hAnsi="宋体" w:eastAsia="宋体" w:cs="宋体"/>
                <w:color w:val="auto"/>
                <w:sz w:val="24"/>
                <w:szCs w:val="24"/>
                <w:highlight w:val="none"/>
              </w:rPr>
              <w:t>送风是否稳定，各部件是否需润滑；</w:t>
            </w:r>
          </w:p>
        </w:tc>
        <w:tc>
          <w:tcPr>
            <w:tcW w:w="1614" w:type="dxa"/>
            <w:vMerge w:val="continue"/>
            <w:noWrap w:val="0"/>
            <w:vAlign w:val="center"/>
          </w:tcPr>
          <w:p w14:paraId="28AF3E6E">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431CC4BA">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6F99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74EC0F7A">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7AC9BBBA">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42AE9EDD">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009" w:type="dxa"/>
            <w:noWrap w:val="0"/>
            <w:vAlign w:val="center"/>
          </w:tcPr>
          <w:p w14:paraId="01AD4B64">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13、传输瓶海绵衬垫、摩擦带和锁扣是否需更换，瓶体有无破损；</w:t>
            </w:r>
          </w:p>
        </w:tc>
        <w:tc>
          <w:tcPr>
            <w:tcW w:w="1614" w:type="dxa"/>
            <w:vMerge w:val="continue"/>
            <w:noWrap w:val="0"/>
            <w:vAlign w:val="center"/>
          </w:tcPr>
          <w:p w14:paraId="114D6054">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7CF3F284">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7A9E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7B8CC0C4">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1C017D10">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4FF56296">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009" w:type="dxa"/>
            <w:noWrap/>
            <w:vAlign w:val="center"/>
          </w:tcPr>
          <w:p w14:paraId="133D9F0D">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14、控制中心的硬件运行情况，定期数据备份以及电脑清理；</w:t>
            </w:r>
          </w:p>
        </w:tc>
        <w:tc>
          <w:tcPr>
            <w:tcW w:w="1614" w:type="dxa"/>
            <w:vMerge w:val="continue"/>
            <w:noWrap w:val="0"/>
            <w:vAlign w:val="center"/>
          </w:tcPr>
          <w:p w14:paraId="4F7BFB73">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0AF4E85F">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778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35C6BB92">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512C8C17">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14BCE8A4">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009" w:type="dxa"/>
            <w:noWrap/>
            <w:vAlign w:val="center"/>
          </w:tcPr>
          <w:p w14:paraId="2F79AE2A">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15、控制线有无破损等；</w:t>
            </w:r>
          </w:p>
        </w:tc>
        <w:tc>
          <w:tcPr>
            <w:tcW w:w="1614" w:type="dxa"/>
            <w:vMerge w:val="continue"/>
            <w:noWrap w:val="0"/>
            <w:vAlign w:val="center"/>
          </w:tcPr>
          <w:p w14:paraId="1E124089">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31246397">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2931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69583DC3">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31A9F659">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6E370A7B">
            <w:pPr>
              <w:snapToGrid w:val="0"/>
              <w:spacing w:after="100" w:afterAutospacing="1" w:line="32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6009" w:type="dxa"/>
            <w:noWrap w:val="0"/>
            <w:vAlign w:val="center"/>
          </w:tcPr>
          <w:p w14:paraId="66ADFF0E">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16、更换部件时进行设备内部清洁和测试，更换完毕后要进行恢复测试，正常方可恢复使用；</w:t>
            </w:r>
          </w:p>
        </w:tc>
        <w:tc>
          <w:tcPr>
            <w:tcW w:w="1614" w:type="dxa"/>
            <w:vMerge w:val="continue"/>
            <w:noWrap w:val="0"/>
            <w:vAlign w:val="center"/>
          </w:tcPr>
          <w:p w14:paraId="6B2A6F06">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6F131A2B">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0B69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3AC27D2C">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13B0F3FE">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6E08FB5D">
            <w:pPr>
              <w:snapToGrid w:val="0"/>
              <w:spacing w:after="100" w:afterAutospacing="1" w:line="32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6009" w:type="dxa"/>
            <w:noWrap w:val="0"/>
            <w:vAlign w:val="center"/>
          </w:tcPr>
          <w:p w14:paraId="4F301580">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17、对上述维保做好计划、执行记录、交甲方存档。</w:t>
            </w:r>
          </w:p>
        </w:tc>
        <w:tc>
          <w:tcPr>
            <w:tcW w:w="1614" w:type="dxa"/>
            <w:vMerge w:val="continue"/>
            <w:noWrap w:val="0"/>
            <w:vAlign w:val="center"/>
          </w:tcPr>
          <w:p w14:paraId="1A1A9406">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30F7D555">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7C0D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3D9D49F0">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restart"/>
            <w:noWrap w:val="0"/>
            <w:vAlign w:val="center"/>
          </w:tcPr>
          <w:p w14:paraId="1A6C7529">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响应机制</w:t>
            </w:r>
          </w:p>
        </w:tc>
        <w:tc>
          <w:tcPr>
            <w:tcW w:w="394" w:type="dxa"/>
            <w:noWrap w:val="0"/>
            <w:vAlign w:val="center"/>
          </w:tcPr>
          <w:p w14:paraId="0BDAB59C">
            <w:pPr>
              <w:snapToGrid w:val="0"/>
              <w:spacing w:after="100" w:afterAutospacing="1" w:line="32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6009" w:type="dxa"/>
            <w:noWrap w:val="0"/>
            <w:vAlign w:val="center"/>
          </w:tcPr>
          <w:p w14:paraId="3352D125">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1、响应时间：</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分钟内响应，并确保报修电话24小时畅通。</w:t>
            </w:r>
          </w:p>
        </w:tc>
        <w:tc>
          <w:tcPr>
            <w:tcW w:w="1614" w:type="dxa"/>
            <w:vMerge w:val="restart"/>
            <w:noWrap w:val="0"/>
            <w:vAlign w:val="center"/>
          </w:tcPr>
          <w:p w14:paraId="66BD56F3">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每发现1例不符合扣1分，扣完为止。</w:t>
            </w:r>
          </w:p>
        </w:tc>
        <w:tc>
          <w:tcPr>
            <w:tcW w:w="479" w:type="dxa"/>
            <w:noWrap/>
            <w:vAlign w:val="center"/>
          </w:tcPr>
          <w:p w14:paraId="1672D574">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3985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2686C43A">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27CE1E8C">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7CEF9F6F">
            <w:pPr>
              <w:snapToGrid w:val="0"/>
              <w:spacing w:after="100" w:afterAutospacing="1" w:line="32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6009" w:type="dxa"/>
            <w:noWrap w:val="0"/>
            <w:vAlign w:val="center"/>
          </w:tcPr>
          <w:p w14:paraId="326964F9">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2、到达现场：</w:t>
            </w:r>
            <w:r>
              <w:rPr>
                <w:rFonts w:hint="eastAsia" w:ascii="宋体" w:hAnsi="宋体" w:eastAsia="宋体" w:cs="宋体"/>
                <w:color w:val="auto"/>
                <w:sz w:val="24"/>
                <w:szCs w:val="24"/>
                <w:highlight w:val="none"/>
                <w:lang w:eastAsia="zh-CN"/>
              </w:rPr>
              <w:t>法定</w:t>
            </w:r>
            <w:r>
              <w:rPr>
                <w:rFonts w:hint="eastAsia" w:ascii="宋体" w:hAnsi="宋体" w:eastAsia="宋体" w:cs="宋体"/>
                <w:color w:val="auto"/>
                <w:sz w:val="24"/>
                <w:szCs w:val="24"/>
                <w:highlight w:val="none"/>
              </w:rPr>
              <w:t>工作日</w:t>
            </w:r>
            <w:r>
              <w:rPr>
                <w:rFonts w:hint="eastAsia" w:ascii="宋体" w:hAnsi="宋体" w:eastAsia="宋体" w:cs="宋体"/>
                <w:color w:val="auto"/>
                <w:sz w:val="24"/>
                <w:szCs w:val="24"/>
                <w:highlight w:val="none"/>
                <w:lang w:val="en-US" w:eastAsia="zh-CN"/>
              </w:rPr>
              <w:t>2天</w:t>
            </w:r>
            <w:r>
              <w:rPr>
                <w:rFonts w:hint="eastAsia" w:ascii="宋体" w:hAnsi="宋体" w:eastAsia="宋体" w:cs="宋体"/>
                <w:color w:val="auto"/>
                <w:sz w:val="24"/>
                <w:szCs w:val="24"/>
                <w:highlight w:val="none"/>
                <w:lang w:eastAsia="zh-CN"/>
              </w:rPr>
              <w:t>内</w:t>
            </w:r>
            <w:r>
              <w:rPr>
                <w:rFonts w:hint="eastAsia" w:ascii="宋体" w:hAnsi="宋体" w:eastAsia="宋体" w:cs="宋体"/>
                <w:color w:val="auto"/>
                <w:sz w:val="24"/>
                <w:szCs w:val="24"/>
                <w:highlight w:val="none"/>
              </w:rPr>
              <w:t>到达现场。</w:t>
            </w:r>
          </w:p>
        </w:tc>
        <w:tc>
          <w:tcPr>
            <w:tcW w:w="1614" w:type="dxa"/>
            <w:vMerge w:val="continue"/>
            <w:noWrap w:val="0"/>
            <w:vAlign w:val="center"/>
          </w:tcPr>
          <w:p w14:paraId="79AC2718">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3C85A919">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6132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13B0343E">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10BC73E0">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27BD980A">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6009" w:type="dxa"/>
            <w:noWrap w:val="0"/>
            <w:vAlign w:val="center"/>
          </w:tcPr>
          <w:p w14:paraId="6924CC80">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响应到达现场是指乙方人员接到报修电话后到技术人员响应或到达现场时间，响应可以是通过电话、电子邮件、传真或网络等实现远程指导、控制；到达现场是指乙方技术人员带备必要的替换件到达设备开展检修工作。</w:t>
            </w:r>
          </w:p>
        </w:tc>
        <w:tc>
          <w:tcPr>
            <w:tcW w:w="1614" w:type="dxa"/>
            <w:vMerge w:val="continue"/>
            <w:noWrap w:val="0"/>
            <w:vAlign w:val="center"/>
          </w:tcPr>
          <w:p w14:paraId="5E05B7DF">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2B9073A8">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1C5A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341A63BF">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0F36D401">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7935CB1E">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6009" w:type="dxa"/>
            <w:noWrap w:val="0"/>
            <w:vAlign w:val="center"/>
          </w:tcPr>
          <w:p w14:paraId="7B80E44A">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5、维修期间需1名或以上技术人员具备原厂培训的工程师队伍</w:t>
            </w:r>
            <w:r>
              <w:rPr>
                <w:rFonts w:hint="eastAsia" w:ascii="宋体" w:hAnsi="宋体" w:eastAsia="宋体" w:cs="宋体"/>
                <w:color w:val="auto"/>
                <w:sz w:val="24"/>
                <w:szCs w:val="24"/>
                <w:highlight w:val="none"/>
                <w:lang w:eastAsia="zh-CN"/>
              </w:rPr>
              <w:t>，维保工作经验</w:t>
            </w:r>
            <w:r>
              <w:rPr>
                <w:rFonts w:hint="eastAsia" w:ascii="宋体" w:hAnsi="宋体" w:eastAsia="宋体" w:cs="宋体"/>
                <w:color w:val="auto"/>
                <w:sz w:val="24"/>
                <w:szCs w:val="24"/>
                <w:highlight w:val="none"/>
                <w:lang w:val="en-US" w:eastAsia="zh-CN"/>
              </w:rPr>
              <w:t>3年</w:t>
            </w:r>
            <w:r>
              <w:rPr>
                <w:rFonts w:hint="eastAsia" w:ascii="宋体" w:hAnsi="宋体" w:eastAsia="宋体" w:cs="宋体"/>
                <w:color w:val="auto"/>
                <w:sz w:val="24"/>
                <w:szCs w:val="24"/>
                <w:highlight w:val="none"/>
              </w:rPr>
              <w:t>(提供</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培训</w:t>
            </w:r>
            <w:r>
              <w:rPr>
                <w:rFonts w:hint="eastAsia" w:ascii="宋体" w:hAnsi="宋体" w:eastAsia="宋体" w:cs="宋体"/>
                <w:color w:val="auto"/>
                <w:sz w:val="24"/>
                <w:szCs w:val="24"/>
                <w:highlight w:val="none"/>
                <w:lang w:eastAsia="zh-CN"/>
              </w:rPr>
              <w:t>佐证材料</w:t>
            </w:r>
            <w:r>
              <w:rPr>
                <w:rFonts w:hint="eastAsia" w:ascii="宋体" w:hAnsi="宋体" w:eastAsia="宋体" w:cs="宋体"/>
                <w:color w:val="auto"/>
                <w:sz w:val="24"/>
                <w:szCs w:val="24"/>
                <w:highlight w:val="none"/>
              </w:rPr>
              <w:t>)。</w:t>
            </w:r>
          </w:p>
        </w:tc>
        <w:tc>
          <w:tcPr>
            <w:tcW w:w="1614" w:type="dxa"/>
            <w:vMerge w:val="continue"/>
            <w:noWrap w:val="0"/>
            <w:vAlign w:val="center"/>
          </w:tcPr>
          <w:p w14:paraId="0DEE9197">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37CB6658">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77B2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14F2EE24">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restart"/>
            <w:noWrap w:val="0"/>
            <w:vAlign w:val="center"/>
          </w:tcPr>
          <w:p w14:paraId="31B5F7F7">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机房管理</w:t>
            </w:r>
          </w:p>
        </w:tc>
        <w:tc>
          <w:tcPr>
            <w:tcW w:w="394" w:type="dxa"/>
            <w:noWrap w:val="0"/>
            <w:vAlign w:val="center"/>
          </w:tcPr>
          <w:p w14:paraId="779D76DA">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009" w:type="dxa"/>
            <w:noWrap w:val="0"/>
            <w:vAlign w:val="center"/>
          </w:tcPr>
          <w:p w14:paraId="6F51565F">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1、乙方应妥善管理机房内设施设备</w:t>
            </w:r>
          </w:p>
        </w:tc>
        <w:tc>
          <w:tcPr>
            <w:tcW w:w="1614" w:type="dxa"/>
            <w:vMerge w:val="restart"/>
            <w:noWrap w:val="0"/>
            <w:vAlign w:val="center"/>
          </w:tcPr>
          <w:p w14:paraId="2E152F6E">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每发现1例不符合扣 1分，扣完为止。</w:t>
            </w:r>
          </w:p>
        </w:tc>
        <w:tc>
          <w:tcPr>
            <w:tcW w:w="479" w:type="dxa"/>
            <w:noWrap/>
            <w:vAlign w:val="center"/>
          </w:tcPr>
          <w:p w14:paraId="26E97587">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1A84E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1BCE2621">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1D9A565F">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71E66497">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6009" w:type="dxa"/>
            <w:noWrap w:val="0"/>
            <w:vAlign w:val="center"/>
          </w:tcPr>
          <w:p w14:paraId="51B40AAF">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2、安全用具（安全帽，安全手套，灭火器等）</w:t>
            </w:r>
          </w:p>
        </w:tc>
        <w:tc>
          <w:tcPr>
            <w:tcW w:w="1614" w:type="dxa"/>
            <w:vMerge w:val="continue"/>
            <w:noWrap w:val="0"/>
            <w:vAlign w:val="center"/>
          </w:tcPr>
          <w:p w14:paraId="0274A0E5">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66999DBF">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DCD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6ED47E44">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43F53AA2">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5F4E8860">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6009" w:type="dxa"/>
            <w:noWrap w:val="0"/>
            <w:vAlign w:val="center"/>
          </w:tcPr>
          <w:p w14:paraId="70FD434C">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3、保持机房卫生干净，干燥，通风</w:t>
            </w:r>
          </w:p>
        </w:tc>
        <w:tc>
          <w:tcPr>
            <w:tcW w:w="1614" w:type="dxa"/>
            <w:vMerge w:val="continue"/>
            <w:noWrap w:val="0"/>
            <w:vAlign w:val="center"/>
          </w:tcPr>
          <w:p w14:paraId="0A3D3C32">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61507C92">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3431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1E247B77">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6C736881">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04A716CC">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6009" w:type="dxa"/>
            <w:noWrap w:val="0"/>
            <w:vAlign w:val="center"/>
          </w:tcPr>
          <w:p w14:paraId="135C3D2A">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4、进出机房登记出入时间表，进出机房须经机房使用人同意，方可进入</w:t>
            </w:r>
          </w:p>
        </w:tc>
        <w:tc>
          <w:tcPr>
            <w:tcW w:w="1614" w:type="dxa"/>
            <w:vMerge w:val="continue"/>
            <w:noWrap w:val="0"/>
            <w:vAlign w:val="center"/>
          </w:tcPr>
          <w:p w14:paraId="5BC6DFE1">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05108EEA">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0A01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5EF35B5A">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restart"/>
            <w:noWrap w:val="0"/>
            <w:vAlign w:val="center"/>
          </w:tcPr>
          <w:p w14:paraId="3793A2D9">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操作规范</w:t>
            </w:r>
          </w:p>
        </w:tc>
        <w:tc>
          <w:tcPr>
            <w:tcW w:w="394" w:type="dxa"/>
            <w:noWrap w:val="0"/>
            <w:vAlign w:val="center"/>
          </w:tcPr>
          <w:p w14:paraId="7E71105A">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009" w:type="dxa"/>
            <w:noWrap w:val="0"/>
            <w:vAlign w:val="center"/>
          </w:tcPr>
          <w:p w14:paraId="1E6778B9">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1、查看在岗人员的各设备设施的操作的规范性。</w:t>
            </w:r>
          </w:p>
        </w:tc>
        <w:tc>
          <w:tcPr>
            <w:tcW w:w="1614" w:type="dxa"/>
            <w:vMerge w:val="restart"/>
            <w:noWrap w:val="0"/>
            <w:vAlign w:val="center"/>
          </w:tcPr>
          <w:p w14:paraId="01DC873A">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每发现1例不符合扣1分，扣完为止。</w:t>
            </w:r>
          </w:p>
        </w:tc>
        <w:tc>
          <w:tcPr>
            <w:tcW w:w="479" w:type="dxa"/>
            <w:noWrap/>
            <w:vAlign w:val="center"/>
          </w:tcPr>
          <w:p w14:paraId="5B59FD45">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712C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88" w:type="dxa"/>
            <w:vMerge w:val="continue"/>
            <w:noWrap w:val="0"/>
            <w:vAlign w:val="center"/>
          </w:tcPr>
          <w:p w14:paraId="0A724477">
            <w:pPr>
              <w:snapToGrid w:val="0"/>
              <w:spacing w:after="100" w:afterAutospacing="1" w:line="320" w:lineRule="exact"/>
              <w:jc w:val="center"/>
              <w:rPr>
                <w:rFonts w:hint="eastAsia" w:ascii="宋体" w:hAnsi="宋体" w:eastAsia="宋体" w:cs="宋体"/>
                <w:b/>
                <w:bCs/>
                <w:color w:val="auto"/>
                <w:sz w:val="24"/>
                <w:szCs w:val="24"/>
                <w:highlight w:val="none"/>
              </w:rPr>
            </w:pPr>
          </w:p>
        </w:tc>
        <w:tc>
          <w:tcPr>
            <w:tcW w:w="821" w:type="dxa"/>
            <w:vMerge w:val="continue"/>
            <w:noWrap w:val="0"/>
            <w:vAlign w:val="center"/>
          </w:tcPr>
          <w:p w14:paraId="20582AB8">
            <w:pPr>
              <w:snapToGrid w:val="0"/>
              <w:spacing w:after="100" w:afterAutospacing="1" w:line="320" w:lineRule="exact"/>
              <w:jc w:val="center"/>
              <w:rPr>
                <w:rFonts w:hint="eastAsia" w:ascii="宋体" w:hAnsi="宋体" w:eastAsia="宋体" w:cs="宋体"/>
                <w:color w:val="auto"/>
                <w:sz w:val="24"/>
                <w:szCs w:val="24"/>
                <w:highlight w:val="none"/>
              </w:rPr>
            </w:pPr>
          </w:p>
        </w:tc>
        <w:tc>
          <w:tcPr>
            <w:tcW w:w="394" w:type="dxa"/>
            <w:noWrap w:val="0"/>
            <w:vAlign w:val="center"/>
          </w:tcPr>
          <w:p w14:paraId="5FC74A2D">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009" w:type="dxa"/>
            <w:noWrap w:val="0"/>
            <w:vAlign w:val="center"/>
          </w:tcPr>
          <w:p w14:paraId="16960D0B">
            <w:pPr>
              <w:snapToGrid w:val="0"/>
              <w:spacing w:after="100" w:afterAutospacing="1"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2、工作人员防护到位（口罩、手套等）。</w:t>
            </w:r>
          </w:p>
        </w:tc>
        <w:tc>
          <w:tcPr>
            <w:tcW w:w="1614" w:type="dxa"/>
            <w:vMerge w:val="continue"/>
            <w:noWrap w:val="0"/>
            <w:vAlign w:val="center"/>
          </w:tcPr>
          <w:p w14:paraId="2C7B0D56">
            <w:pPr>
              <w:snapToGrid w:val="0"/>
              <w:spacing w:after="100" w:afterAutospacing="1" w:line="320" w:lineRule="exact"/>
              <w:jc w:val="left"/>
              <w:rPr>
                <w:rFonts w:hint="eastAsia" w:ascii="宋体" w:hAnsi="宋体" w:eastAsia="宋体" w:cs="宋体"/>
                <w:color w:val="auto"/>
                <w:sz w:val="24"/>
                <w:szCs w:val="24"/>
                <w:highlight w:val="none"/>
              </w:rPr>
            </w:pPr>
          </w:p>
        </w:tc>
        <w:tc>
          <w:tcPr>
            <w:tcW w:w="479" w:type="dxa"/>
            <w:noWrap/>
            <w:vAlign w:val="center"/>
          </w:tcPr>
          <w:p w14:paraId="252AAAA1">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0F49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312" w:hRule="atLeast"/>
          <w:jc w:val="center"/>
        </w:trPr>
        <w:tc>
          <w:tcPr>
            <w:tcW w:w="2409" w:type="dxa"/>
            <w:gridSpan w:val="2"/>
            <w:noWrap w:val="0"/>
            <w:vAlign w:val="center"/>
          </w:tcPr>
          <w:p w14:paraId="58BA3238">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总计</w:t>
            </w:r>
          </w:p>
        </w:tc>
        <w:tc>
          <w:tcPr>
            <w:tcW w:w="394" w:type="dxa"/>
            <w:noWrap w:val="0"/>
            <w:vAlign w:val="center"/>
          </w:tcPr>
          <w:p w14:paraId="1810E73E">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7623" w:type="dxa"/>
            <w:gridSpan w:val="2"/>
            <w:noWrap w:val="0"/>
            <w:vAlign w:val="center"/>
          </w:tcPr>
          <w:p w14:paraId="794CEE65">
            <w:pPr>
              <w:snapToGrid w:val="0"/>
              <w:spacing w:after="100" w:afterAutospacing="1" w:line="320" w:lineRule="exact"/>
              <w:jc w:val="center"/>
              <w:rPr>
                <w:rFonts w:hint="eastAsia" w:ascii="宋体" w:hAnsi="宋体" w:eastAsia="宋体" w:cs="宋体"/>
                <w:color w:val="auto"/>
                <w:sz w:val="24"/>
                <w:szCs w:val="24"/>
                <w:highlight w:val="none"/>
              </w:rPr>
            </w:pPr>
          </w:p>
        </w:tc>
        <w:tc>
          <w:tcPr>
            <w:tcW w:w="479" w:type="dxa"/>
            <w:noWrap/>
            <w:vAlign w:val="center"/>
          </w:tcPr>
          <w:p w14:paraId="162EFC55">
            <w:pPr>
              <w:snapToGrid w:val="0"/>
              <w:spacing w:after="100" w:afterAutospacing="1"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bl>
    <w:p w14:paraId="56D925B3">
      <w:pPr>
        <w:pStyle w:val="2"/>
        <w:rPr>
          <w:rFonts w:hint="eastAsia"/>
          <w:lang w:val="en-US" w:eastAsia="zh-CN"/>
        </w:rPr>
      </w:pPr>
    </w:p>
    <w:p w14:paraId="055D9458">
      <w:pPr>
        <w:pStyle w:val="2"/>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DFAAE"/>
    <w:multiLevelType w:val="singleLevel"/>
    <w:tmpl w:val="84BDFAAE"/>
    <w:lvl w:ilvl="0" w:tentative="0">
      <w:start w:val="1"/>
      <w:numFmt w:val="decimal"/>
      <w:suff w:val="nothing"/>
      <w:lvlText w:val="%1、"/>
      <w:lvlJc w:val="left"/>
    </w:lvl>
  </w:abstractNum>
  <w:abstractNum w:abstractNumId="1">
    <w:nsid w:val="DFF0D003"/>
    <w:multiLevelType w:val="singleLevel"/>
    <w:tmpl w:val="DFF0D003"/>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A27FAC"/>
    <w:rsid w:val="14C447F8"/>
    <w:rsid w:val="16A11295"/>
    <w:rsid w:val="1E411248"/>
    <w:rsid w:val="2FD07A41"/>
    <w:rsid w:val="3EEE423F"/>
    <w:rsid w:val="46014229"/>
    <w:rsid w:val="4DF94646"/>
    <w:rsid w:val="51F27101"/>
    <w:rsid w:val="776F1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keepNext/>
      <w:keepLines/>
      <w:spacing w:before="260" w:after="260"/>
      <w:ind w:left="100" w:leftChars="100"/>
      <w:jc w:val="left"/>
      <w:outlineLvl w:val="2"/>
    </w:pPr>
    <w:rPr>
      <w:b/>
      <w:sz w:val="24"/>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2550</Words>
  <Characters>2771</Characters>
  <Lines>0</Lines>
  <Paragraphs>0</Paragraphs>
  <TotalTime>10</TotalTime>
  <ScaleCrop>false</ScaleCrop>
  <LinksUpToDate>false</LinksUpToDate>
  <CharactersWithSpaces>2806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2025-09-10T06:52:00Z</dcterms:created>
  <dc:creator>ZGJ</dc:creator>
  <cp:lastModifiedBy>light</cp:lastModifiedBy>
  <dcterms:modified xsi:type="dcterms:W3CDTF">2025-09-28T02:42:48Z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eyJoZGlkIjoiYWIyODYxMjI2ZWMyYmJiMTYwMzk3YTM4ZTllYjAyZTgiLCJ1c2VySWQiOiIxMDI2NTUyNjU5In0=</vt:lpwstr>
  </property>
  <property fmtid="{D5CDD505-2E9C-101B-9397-08002B2CF9AE}" pid="4" name="ICV">
    <vt:lpwstr>FA33D6A952174555A460ADFC93F8F394_13</vt:lpwstr>
  </property>
</Properties>
</file>