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BE3AC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合作方具备条件及要求</w:t>
      </w:r>
    </w:p>
    <w:p w14:paraId="7F01F408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合作方需具备药品申报研发能力，需具备相应等级医院成功的院内制剂申报案例。</w:t>
      </w:r>
    </w:p>
    <w:p w14:paraId="433160F4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合作方需具备药品生产资质，并具备口服液，颗粒剂，胶囊，膏剂等剂型生产线。</w:t>
      </w:r>
    </w:p>
    <w:p w14:paraId="7938045C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3.合作方具备药品配送能力，需能接受甲方委托，代为采购配送制剂生产所需原辅材料，包装材料，药检试剂等。</w:t>
      </w:r>
    </w:p>
    <w:p w14:paraId="0188DEB4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4.合作方应具备完善的药检能力。</w:t>
      </w:r>
    </w:p>
    <w:p w14:paraId="1C09A9F0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5.合作方应具备相应等级医院院内制剂院企合作成功案例。</w:t>
      </w:r>
    </w:p>
    <w:p w14:paraId="785777B6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6.合作方应该同时具备上述研发，生产，配送供应全链条能力的集团公司或者联合体。</w:t>
      </w:r>
    </w:p>
    <w:p w14:paraId="034BE990">
      <w:pPr>
        <w:numPr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7.后期生产销售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院内制剂品种，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企业结算价格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（包括原辅料成本、生产成本、运输成本、包装成本等）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不高于零售价50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A6E98"/>
    <w:rsid w:val="3ED328A1"/>
    <w:rsid w:val="448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2026-02-28T09:06:00Z</dcterms:created>
  <dc:creator>秋秋</dc:creator>
  <cp:lastModifiedBy>秋秋</cp:lastModifiedBy>
  <dcterms:modified xsi:type="dcterms:W3CDTF">2026-02-28T09:10:35Z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5864C70D0D894D5F9D3FDA3B0159E0F2_11</vt:lpwstr>
  </property>
  <property fmtid="{D5CDD505-2E9C-101B-9397-08002B2CF9AE}" pid="4" name="KSOTemplateDocerSaveRecord">
    <vt:lpwstr>eyJoZGlkIjoiNjRhZTc0YjhiY2E5MGE1ZmE1YmQzNjBhM2I3ZjNiNTQiLCJ1c2VySWQiOiIyMTc3MzYyMDMifQ==</vt:lpwstr>
  </property>
</Properties>
</file>