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F6318">
      <w:pPr>
        <w:jc w:val="center"/>
        <w:rPr>
          <w:rFonts w:hint="default"/>
          <w:lang w:val="en-US" w:eastAsia="zh-CN"/>
        </w:rPr>
      </w:pPr>
      <w:r>
        <w:rPr>
          <w:rStyle w:val="5"/>
          <w:rFonts w:hint="eastAsia"/>
          <w:lang w:val="en-US" w:eastAsia="zh-CN"/>
        </w:rPr>
        <w:t>超声高频外科集成系统基本需求</w:t>
      </w:r>
    </w:p>
    <w:p w14:paraId="76462447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7E048C36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可连接超声刀头和高频刀头，以此分别输出超声和高频能量，具有多种开放、腔镜刀头供临床选择。</w:t>
      </w:r>
      <w:bookmarkStart w:id="0" w:name="_GoBack"/>
      <w:bookmarkEnd w:id="0"/>
    </w:p>
    <w:p w14:paraId="6C32DF31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4CF57073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1、融合超声刀和高级智能双极技术为一体的发生器；</w:t>
      </w:r>
    </w:p>
    <w:p w14:paraId="1A9A0264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2、具备组织感应技术，能根据钳口中组织的阻力变化相应的调整能量输出，确保刀头不会和垫过度摩擦产生高温；</w:t>
      </w:r>
    </w:p>
    <w:p w14:paraId="2A11C422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3、超声刀头的震动频率为≥55500HZ（最大可安全7mm及以下血管）；</w:t>
      </w:r>
    </w:p>
    <w:p w14:paraId="36DDEE13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4、超声刀工作头端具有防粘连涂层，能保证更好的切割止血；</w:t>
      </w:r>
    </w:p>
    <w:p w14:paraId="3AB6D269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5、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具备安全处理7mm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及以下血管及淋巴管的能力。</w:t>
      </w:r>
    </w:p>
    <w:p w14:paraId="71AFD748"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6、要求具备其他相应临床所需必备功能等。</w:t>
      </w:r>
    </w:p>
    <w:p w14:paraId="03EF5FC3">
      <w:pPr>
        <w:numPr>
          <w:ilvl w:val="0"/>
          <w:numId w:val="0"/>
        </w:numPr>
        <w:ind w:left="0" w:firstLine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434DA6CD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1、发生器主机</w:t>
      </w:r>
    </w:p>
    <w:p w14:paraId="3AED7C03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2、超声刀头手柄线及转接头</w:t>
      </w:r>
    </w:p>
    <w:p w14:paraId="6E7B0256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3、移动车架</w:t>
      </w:r>
    </w:p>
    <w:p w14:paraId="0B470D7D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其他正常须配套的设备、工具、附件、耗材及相应配套服务等。</w:t>
      </w:r>
    </w:p>
    <w:p w14:paraId="5E659BF5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30516AD"/>
    <w:rsid w:val="050D65F7"/>
    <w:rsid w:val="074C1FD0"/>
    <w:rsid w:val="0DE63E89"/>
    <w:rsid w:val="120314AE"/>
    <w:rsid w:val="145002AE"/>
    <w:rsid w:val="15E11B06"/>
    <w:rsid w:val="1BCB7629"/>
    <w:rsid w:val="1BD23C9F"/>
    <w:rsid w:val="1BFB4FA4"/>
    <w:rsid w:val="1CD001DE"/>
    <w:rsid w:val="203F7020"/>
    <w:rsid w:val="22244B28"/>
    <w:rsid w:val="24184152"/>
    <w:rsid w:val="265F016E"/>
    <w:rsid w:val="26773DC1"/>
    <w:rsid w:val="28455469"/>
    <w:rsid w:val="28D9666D"/>
    <w:rsid w:val="2FDF1268"/>
    <w:rsid w:val="3358143E"/>
    <w:rsid w:val="33753ED8"/>
    <w:rsid w:val="359C2EFC"/>
    <w:rsid w:val="3707386B"/>
    <w:rsid w:val="397A59CB"/>
    <w:rsid w:val="3AC36469"/>
    <w:rsid w:val="3AC977BA"/>
    <w:rsid w:val="3AF14A42"/>
    <w:rsid w:val="42863CD9"/>
    <w:rsid w:val="46586047"/>
    <w:rsid w:val="4A5216CE"/>
    <w:rsid w:val="4A5676C5"/>
    <w:rsid w:val="4B076C12"/>
    <w:rsid w:val="4B427C4A"/>
    <w:rsid w:val="4F764366"/>
    <w:rsid w:val="54EA382C"/>
    <w:rsid w:val="5BD5519F"/>
    <w:rsid w:val="5F447FDD"/>
    <w:rsid w:val="5FE45984"/>
    <w:rsid w:val="61C42BB3"/>
    <w:rsid w:val="65515201"/>
    <w:rsid w:val="656E190F"/>
    <w:rsid w:val="677B0314"/>
    <w:rsid w:val="69AF24F6"/>
    <w:rsid w:val="6D2F675F"/>
    <w:rsid w:val="6D652494"/>
    <w:rsid w:val="73D56FFD"/>
    <w:rsid w:val="7C2A2F43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373</Characters>
  <Paragraphs>18</Paragraphs>
  <TotalTime>0</TotalTime>
  <ScaleCrop>false</ScaleCrop>
  <LinksUpToDate>false</LinksUpToDate>
  <CharactersWithSpaces>373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2026-03-12T08:17:49Z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D22AB07603D24CA9A69E48434585ED21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