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3E17E">
      <w:pPr>
        <w:pStyle w:val="11"/>
        <w:bidi w:val="0"/>
        <w:spacing w:beforeAutospacing="0" w:afterAutospacing="0" w:line="460" w:lineRule="exact"/>
        <w:rPr>
          <w:rFonts w:ascii="GWZT-EN"/>
        </w:rPr>
      </w:pPr>
    </w:p>
    <w:p w14:paraId="3AB724F1">
      <w:pPr>
        <w:pStyle w:val="15"/>
        <w:widowControl/>
        <w:rPr>
          <w:rFonts w:ascii="GWZT-EN"/>
        </w:rPr>
      </w:pPr>
      <w:r>
        <w:rPr>
          <w:rFonts w:ascii="GWZT-EN"/>
          <w:b w:val="0"/>
          <w:bCs w:val="0"/>
        </w:rPr>
        <w:t>城北院区体检中心改造项目</w:t>
      </w:r>
      <w:r>
        <w:rPr>
          <w:rFonts w:hint="eastAsia"/>
          <w:b w:val="0"/>
          <w:bCs w:val="0"/>
          <w:lang w:val="en-US" w:eastAsia="zh-CN"/>
        </w:rPr>
        <w:t>设计深化优化、全过程</w:t>
      </w:r>
      <w:r>
        <w:rPr>
          <w:rFonts w:ascii="GWZT-EN"/>
          <w:b w:val="0"/>
          <w:bCs w:val="0"/>
        </w:rPr>
        <w:t>造价咨询采购需求</w:t>
      </w:r>
    </w:p>
    <w:p w14:paraId="4C4C2E2E">
      <w:pPr>
        <w:pStyle w:val="2"/>
        <w:widowControl/>
        <w:numPr>
          <w:ilvl w:val="0"/>
          <w:numId w:val="1"/>
        </w:numPr>
        <w:topLinePunct w:val="0"/>
        <w:ind w:left="0" w:leftChars="0" w:firstLine="0" w:firstLineChars="0"/>
        <w:rPr>
          <w:rFonts w:hint="eastAsia" w:ascii="GWZT-EN" w:hAnsi="黑体" w:eastAsia="黑体" w:cs="黑体"/>
          <w:b w:val="0"/>
          <w:bCs w:val="0"/>
        </w:rPr>
      </w:pPr>
      <w:r>
        <w:rPr>
          <w:rFonts w:ascii="GWZT-EN"/>
          <w:b w:val="0"/>
          <w:bCs w:val="0"/>
        </w:rPr>
        <w:t>项目概况</w:t>
      </w:r>
    </w:p>
    <w:p w14:paraId="2949A158">
      <w:pPr>
        <w:pStyle w:val="3"/>
        <w:widowControl/>
        <w:numPr>
          <w:ilvl w:val="0"/>
          <w:numId w:val="2"/>
        </w:numPr>
        <w:topLinePunct w:val="0"/>
        <w:ind w:left="0" w:leftChars="0" w:firstLine="0" w:firstLineChars="0"/>
        <w:rPr>
          <w:rFonts w:hint="eastAsia" w:ascii="GWZT-EN" w:hAnsi="黑体" w:eastAsia="黑体" w:cs="黑体"/>
          <w:b w:val="0"/>
          <w:bCs w:val="0"/>
        </w:rPr>
      </w:pPr>
      <w:r>
        <w:rPr>
          <w:rFonts w:ascii="GWZT-EN"/>
          <w:b w:val="0"/>
          <w:bCs w:val="0"/>
        </w:rPr>
        <w:t>项目名称</w:t>
      </w:r>
    </w:p>
    <w:p w14:paraId="0F1EB9E9">
      <w:pPr>
        <w:pStyle w:val="11"/>
        <w:widowControl/>
        <w:pBdr>
          <w:top w:val="none" w:color="auto" w:sz="0" w:space="0"/>
          <w:left w:val="none" w:color="auto" w:sz="0" w:space="0"/>
          <w:bottom w:val="none" w:color="auto" w:sz="0" w:space="0"/>
          <w:right w:val="none" w:color="auto" w:sz="0" w:space="0"/>
        </w:pBdr>
        <w:rPr>
          <w:rFonts w:ascii="GWZT-EN" w:hAnsi="Times New Roman" w:eastAsia="宋体" w:cs="Times New Roman"/>
          <w:color w:val="1F2329"/>
          <w:sz w:val="24"/>
          <w:szCs w:val="24"/>
        </w:rPr>
      </w:pPr>
      <w:r>
        <w:rPr>
          <w:rFonts w:ascii="GWZT-EN" w:hAnsi="Times New Roman" w:eastAsia="宋体" w:cs="Times New Roman"/>
          <w:color w:val="1F2329"/>
          <w:sz w:val="24"/>
          <w:szCs w:val="24"/>
        </w:rPr>
        <w:t>城北院区体检中心改造项目</w:t>
      </w:r>
      <w:r>
        <w:rPr>
          <w:rFonts w:hint="eastAsia"/>
          <w:b w:val="0"/>
          <w:bCs w:val="0"/>
          <w:lang w:val="en-US" w:eastAsia="zh-CN"/>
        </w:rPr>
        <w:t>设计深化优化、全过程</w:t>
      </w:r>
      <w:r>
        <w:rPr>
          <w:rFonts w:ascii="GWZT-EN" w:hAnsi="Times New Roman" w:eastAsia="宋体" w:cs="Times New Roman"/>
          <w:color w:val="1F2329"/>
          <w:sz w:val="24"/>
          <w:szCs w:val="24"/>
        </w:rPr>
        <w:t>造价咨询服务</w:t>
      </w:r>
    </w:p>
    <w:p w14:paraId="56A99949">
      <w:pPr>
        <w:pStyle w:val="3"/>
        <w:widowControl/>
        <w:numPr>
          <w:ilvl w:val="0"/>
          <w:numId w:val="2"/>
        </w:numPr>
        <w:topLinePunct w:val="0"/>
        <w:ind w:left="0" w:leftChars="0" w:firstLine="0" w:firstLineChars="0"/>
        <w:rPr>
          <w:rFonts w:hint="eastAsia" w:ascii="GWZT-EN" w:hAnsi="黑体" w:eastAsia="黑体" w:cs="黑体"/>
          <w:b w:val="0"/>
          <w:bCs w:val="0"/>
        </w:rPr>
      </w:pPr>
      <w:r>
        <w:rPr>
          <w:rFonts w:ascii="GWZT-EN"/>
          <w:b w:val="0"/>
          <w:bCs w:val="0"/>
        </w:rPr>
        <w:t>项目地点</w:t>
      </w:r>
    </w:p>
    <w:p w14:paraId="0D918F6F">
      <w:pPr>
        <w:pStyle w:val="11"/>
        <w:widowControl/>
        <w:pBdr>
          <w:top w:val="none" w:color="auto" w:sz="0" w:space="0"/>
          <w:left w:val="none" w:color="auto" w:sz="0" w:space="0"/>
          <w:bottom w:val="none" w:color="auto" w:sz="0" w:space="0"/>
          <w:right w:val="none" w:color="auto" w:sz="0" w:space="0"/>
        </w:pBdr>
        <w:rPr>
          <w:rFonts w:ascii="GWZT-EN" w:hAnsi="Times New Roman" w:eastAsia="宋体" w:cs="Times New Roman"/>
          <w:color w:val="1F2329"/>
          <w:sz w:val="24"/>
          <w:szCs w:val="24"/>
        </w:rPr>
      </w:pPr>
      <w:r>
        <w:rPr>
          <w:rFonts w:ascii="GWZT-EN" w:hAnsi="Times New Roman" w:eastAsia="宋体" w:cs="Times New Roman"/>
          <w:color w:val="1F2329"/>
          <w:sz w:val="24"/>
          <w:szCs w:val="24"/>
        </w:rPr>
        <w:t>城北院区</w:t>
      </w:r>
    </w:p>
    <w:p w14:paraId="146811FA">
      <w:pPr>
        <w:pStyle w:val="3"/>
        <w:widowControl/>
        <w:numPr>
          <w:ilvl w:val="0"/>
          <w:numId w:val="2"/>
        </w:numPr>
        <w:topLinePunct w:val="0"/>
        <w:ind w:left="0" w:leftChars="0" w:firstLine="0" w:firstLineChars="0"/>
        <w:rPr>
          <w:rFonts w:hint="eastAsia" w:ascii="GWZT-EN" w:hAnsi="黑体" w:eastAsia="黑体" w:cs="黑体"/>
          <w:b w:val="0"/>
          <w:bCs w:val="0"/>
        </w:rPr>
      </w:pPr>
      <w:r>
        <w:rPr>
          <w:rFonts w:ascii="GWZT-EN"/>
          <w:b w:val="0"/>
          <w:bCs w:val="0"/>
        </w:rPr>
        <w:t>项目背景</w:t>
      </w:r>
    </w:p>
    <w:p w14:paraId="49F2B817">
      <w:pPr>
        <w:pStyle w:val="11"/>
        <w:widowControl/>
        <w:pBdr>
          <w:top w:val="none" w:color="auto" w:sz="0" w:space="0"/>
          <w:left w:val="none" w:color="auto" w:sz="0" w:space="0"/>
          <w:bottom w:val="none" w:color="auto" w:sz="0" w:space="0"/>
          <w:right w:val="none" w:color="auto" w:sz="0" w:space="0"/>
        </w:pBdr>
        <w:rPr>
          <w:rFonts w:ascii="GWZT-EN" w:hAnsi="Times New Roman" w:eastAsia="宋体" w:cs="Times New Roman"/>
          <w:color w:val="1F2329"/>
          <w:sz w:val="24"/>
          <w:szCs w:val="24"/>
        </w:rPr>
      </w:pPr>
      <w:r>
        <w:rPr>
          <w:rFonts w:ascii="GWZT-EN" w:hAnsi="Times New Roman" w:eastAsia="宋体" w:cs="Times New Roman"/>
          <w:color w:val="1F2329"/>
          <w:sz w:val="24"/>
          <w:szCs w:val="24"/>
        </w:rPr>
        <w:t>本项目为院区体检中心室内改造工程，改造建筑面积以现场实际丈量、图纸实测为准，</w:t>
      </w:r>
      <w:r>
        <w:rPr>
          <w:rFonts w:hint="eastAsia" w:cs="Times New Roman"/>
          <w:color w:val="1F2329"/>
          <w:sz w:val="24"/>
          <w:szCs w:val="24"/>
          <w:lang w:val="en-US" w:eastAsia="zh-CN"/>
        </w:rPr>
        <w:t>分为</w:t>
      </w:r>
      <w:r>
        <w:rPr>
          <w:rFonts w:ascii="GWZT-EN" w:hAnsi="Times New Roman" w:eastAsia="宋体" w:cs="Times New Roman"/>
          <w:color w:val="1F2329"/>
          <w:sz w:val="24"/>
          <w:szCs w:val="24"/>
        </w:rPr>
        <w:t>普检板块、特需板块、公共配套区域三大功能分区，采用普检、特需双独立闭环动线，实现人流分流、诊疗分区无交叉，配套导诊、就餐、办公、后勤、应急保障等功能。 项目现已完成方案设计及全套施工图纸绘制，本次招标核心为选取专业单位提供</w:t>
      </w:r>
      <w:r>
        <w:rPr>
          <w:rFonts w:hint="eastAsia" w:cs="Times New Roman"/>
          <w:color w:val="1F2329"/>
          <w:sz w:val="24"/>
          <w:szCs w:val="24"/>
          <w:lang w:val="en-US" w:eastAsia="zh-CN"/>
        </w:rPr>
        <w:t>设</w:t>
      </w:r>
      <w:r>
        <w:rPr>
          <w:rFonts w:hint="eastAsia" w:ascii="GWZT-EN" w:hAnsi="Times New Roman" w:eastAsia="宋体" w:cs="Times New Roman"/>
          <w:color w:val="1F2329"/>
          <w:sz w:val="24"/>
          <w:szCs w:val="24"/>
          <w:lang w:val="en-US" w:eastAsia="zh-CN"/>
        </w:rPr>
        <w:t>计深化优化、</w:t>
      </w:r>
      <w:r>
        <w:rPr>
          <w:rFonts w:ascii="GWZT-EN" w:hAnsi="Times New Roman" w:eastAsia="宋体" w:cs="Times New Roman"/>
          <w:color w:val="1F2329"/>
          <w:sz w:val="24"/>
          <w:szCs w:val="24"/>
        </w:rPr>
        <w:t>全过程造价咨询服务；项目整体平面布局、科室划分可由</w:t>
      </w:r>
      <w:r>
        <w:rPr>
          <w:rFonts w:ascii="GWZT-EN" w:hAnsi="Times New Roman" w:eastAsia="宋体" w:cs="Times New Roman"/>
          <w:color w:val="1F2329"/>
          <w:sz w:val="24"/>
          <w:szCs w:val="24"/>
        </w:rPr>
        <w:t>中标单位联合建设单位、各使用科室共同</w:t>
      </w:r>
      <w:r>
        <w:rPr>
          <w:rFonts w:hint="eastAsia" w:cs="Times New Roman"/>
          <w:color w:val="1F2329"/>
          <w:sz w:val="24"/>
          <w:szCs w:val="24"/>
          <w:lang w:val="en-US" w:eastAsia="zh-CN"/>
        </w:rPr>
        <w:t>深化优化、</w:t>
      </w:r>
      <w:r>
        <w:rPr>
          <w:rFonts w:ascii="GWZT-EN" w:hAnsi="Times New Roman" w:eastAsia="宋体" w:cs="Times New Roman"/>
          <w:color w:val="1F2329"/>
          <w:sz w:val="24"/>
          <w:szCs w:val="24"/>
        </w:rPr>
        <w:t>研讨确定调整方案，改造面积、空间尺寸均以现场实际情况为准，保障造价编制精准落地、严格控制项目投资。</w:t>
      </w:r>
    </w:p>
    <w:p w14:paraId="05039930">
      <w:pPr>
        <w:pStyle w:val="3"/>
        <w:widowControl/>
        <w:numPr>
          <w:ilvl w:val="0"/>
          <w:numId w:val="2"/>
        </w:numPr>
        <w:topLinePunct w:val="0"/>
        <w:ind w:left="0" w:leftChars="0" w:firstLine="0" w:firstLineChars="0"/>
        <w:rPr>
          <w:rFonts w:hint="eastAsia" w:ascii="GWZT-EN" w:hAnsi="黑体" w:eastAsia="黑体" w:cs="黑体"/>
          <w:b w:val="0"/>
          <w:bCs w:val="0"/>
        </w:rPr>
      </w:pPr>
      <w:r>
        <w:rPr>
          <w:rFonts w:ascii="GWZT-EN"/>
          <w:b w:val="0"/>
          <w:bCs w:val="0"/>
        </w:rPr>
        <w:t>建设内容</w:t>
      </w:r>
    </w:p>
    <w:p w14:paraId="60B274F6">
      <w:pPr>
        <w:pStyle w:val="11"/>
        <w:widowControl/>
        <w:pBdr>
          <w:top w:val="none" w:color="auto" w:sz="0" w:space="0"/>
          <w:left w:val="none" w:color="auto" w:sz="0" w:space="0"/>
          <w:bottom w:val="none" w:color="auto" w:sz="0" w:space="0"/>
          <w:right w:val="none" w:color="auto" w:sz="0" w:space="0"/>
        </w:pBdr>
        <w:rPr>
          <w:rFonts w:ascii="GWZT-EN" w:hAnsi="Times New Roman" w:eastAsia="宋体" w:cs="Times New Roman"/>
          <w:color w:val="1F2329"/>
          <w:sz w:val="24"/>
          <w:szCs w:val="24"/>
        </w:rPr>
      </w:pPr>
      <w:r>
        <w:rPr>
          <w:rFonts w:ascii="GWZT-EN" w:hAnsi="Times New Roman" w:eastAsia="宋体" w:cs="Times New Roman"/>
          <w:color w:val="1F2329"/>
          <w:sz w:val="24"/>
          <w:szCs w:val="24"/>
        </w:rPr>
        <w:t>改造范围包含门诊中央导诊配套区、普检功能区、特需功能区，各分区实际面积以现场实测、图纸深化后实测数据为准；覆盖各类诊室、采血室、候诊区、餐厅、会议室、医护后勤用房等全空间改造；工程内容涵盖室内装修、水电暖通、医用专项设施、标识导视、消防应急设施等。项目科室布局、房间功能划分可结合各科室实际使用需求，多方共同商议调整优化。</w:t>
      </w:r>
    </w:p>
    <w:p w14:paraId="1B02A6D8">
      <w:pPr>
        <w:pStyle w:val="3"/>
        <w:widowControl/>
        <w:numPr>
          <w:ilvl w:val="0"/>
          <w:numId w:val="2"/>
        </w:numPr>
        <w:topLinePunct w:val="0"/>
        <w:ind w:left="0" w:leftChars="0" w:firstLine="0" w:firstLineChars="0"/>
        <w:rPr>
          <w:rFonts w:hint="eastAsia" w:ascii="GWZT-EN" w:hAnsi="黑体" w:eastAsia="黑体" w:cs="黑体"/>
          <w:b w:val="0"/>
          <w:bCs w:val="0"/>
        </w:rPr>
      </w:pPr>
      <w:r>
        <w:rPr>
          <w:rFonts w:ascii="GWZT-EN"/>
          <w:b w:val="0"/>
          <w:bCs w:val="0"/>
        </w:rPr>
        <w:t>项目投资预算</w:t>
      </w:r>
    </w:p>
    <w:p w14:paraId="380AAC6F">
      <w:pPr>
        <w:pStyle w:val="11"/>
        <w:widowControl/>
        <w:pBdr>
          <w:top w:val="none" w:color="auto" w:sz="0" w:space="0"/>
          <w:left w:val="none" w:color="auto" w:sz="0" w:space="0"/>
          <w:bottom w:val="none" w:color="auto" w:sz="0" w:space="0"/>
          <w:right w:val="none" w:color="auto" w:sz="0" w:space="0"/>
        </w:pBdr>
        <w:rPr>
          <w:rFonts w:ascii="GWZT-EN" w:hAnsi="Times New Roman" w:eastAsia="宋体" w:cs="Times New Roman"/>
          <w:color w:val="1F2329"/>
          <w:sz w:val="24"/>
          <w:szCs w:val="24"/>
        </w:rPr>
      </w:pPr>
      <w:r>
        <w:rPr>
          <w:rFonts w:ascii="GWZT-EN" w:hAnsi="Times New Roman" w:eastAsia="宋体" w:cs="Times New Roman"/>
          <w:color w:val="1F2329"/>
          <w:sz w:val="24"/>
          <w:szCs w:val="24"/>
        </w:rPr>
        <w:t>改造工程总</w:t>
      </w:r>
      <w:r>
        <w:rPr>
          <w:rFonts w:ascii="GWZT-EN" w:hAnsi="Times New Roman" w:eastAsia="宋体" w:cs="Times New Roman"/>
          <w:color w:val="1F2329"/>
          <w:sz w:val="24"/>
          <w:szCs w:val="24"/>
        </w:rPr>
        <w:t>投资预算 360 万元，本次</w:t>
      </w:r>
      <w:r>
        <w:rPr>
          <w:rFonts w:hint="eastAsia" w:cs="Times New Roman"/>
          <w:color w:val="1F2329"/>
          <w:sz w:val="24"/>
          <w:szCs w:val="24"/>
          <w:lang w:val="en-US" w:eastAsia="zh-CN"/>
        </w:rPr>
        <w:t>设计深化优化、全过程</w:t>
      </w:r>
      <w:r>
        <w:rPr>
          <w:rFonts w:ascii="GWZT-EN" w:hAnsi="Times New Roman" w:eastAsia="宋体" w:cs="Times New Roman"/>
          <w:color w:val="1F2329"/>
          <w:sz w:val="24"/>
          <w:szCs w:val="24"/>
        </w:rPr>
        <w:t>造价咨询全</w:t>
      </w:r>
      <w:r>
        <w:rPr>
          <w:rFonts w:ascii="GWZT-EN" w:hAnsi="Times New Roman" w:eastAsia="宋体" w:cs="Times New Roman"/>
          <w:color w:val="1F2329"/>
          <w:sz w:val="24"/>
          <w:szCs w:val="24"/>
        </w:rPr>
        <w:t>部工作成果均需围绕该限额开展</w:t>
      </w:r>
      <w:r>
        <w:rPr>
          <w:rFonts w:hint="eastAsia" w:cs="Times New Roman"/>
          <w:color w:val="1F2329"/>
          <w:sz w:val="24"/>
          <w:szCs w:val="24"/>
          <w:lang w:val="en-US" w:eastAsia="zh-CN"/>
        </w:rPr>
        <w:t>设计深化优化、预算</w:t>
      </w:r>
      <w:r>
        <w:rPr>
          <w:rFonts w:ascii="GWZT-EN" w:hAnsi="Times New Roman" w:eastAsia="宋体" w:cs="Times New Roman"/>
          <w:color w:val="1F2329"/>
          <w:sz w:val="24"/>
          <w:szCs w:val="24"/>
        </w:rPr>
        <w:t>编制、</w:t>
      </w:r>
      <w:r>
        <w:rPr>
          <w:rFonts w:hint="eastAsia" w:cs="Times New Roman"/>
          <w:color w:val="1F2329"/>
          <w:sz w:val="24"/>
          <w:szCs w:val="24"/>
          <w:lang w:val="en-US" w:eastAsia="zh-CN"/>
        </w:rPr>
        <w:t>招标配合、设计变更管理、</w:t>
      </w:r>
      <w:r>
        <w:rPr>
          <w:rFonts w:ascii="GWZT-EN" w:hAnsi="Times New Roman" w:eastAsia="宋体" w:cs="Times New Roman"/>
          <w:color w:val="1F2329"/>
          <w:sz w:val="24"/>
          <w:szCs w:val="24"/>
        </w:rPr>
        <w:t>全过程造价把控；工程量核算、造价测算均以现场实际尺寸、深化后</w:t>
      </w:r>
      <w:r>
        <w:rPr>
          <w:rFonts w:hint="eastAsia" w:cs="Times New Roman"/>
          <w:color w:val="1F2329"/>
          <w:sz w:val="24"/>
          <w:szCs w:val="24"/>
          <w:lang w:val="en-US" w:eastAsia="zh-CN"/>
        </w:rPr>
        <w:t>图纸的</w:t>
      </w:r>
      <w:r>
        <w:rPr>
          <w:rFonts w:ascii="GWZT-EN" w:hAnsi="Times New Roman" w:eastAsia="宋体" w:cs="Times New Roman"/>
          <w:color w:val="1F2329"/>
          <w:sz w:val="24"/>
          <w:szCs w:val="24"/>
        </w:rPr>
        <w:t>实测面积、最终</w:t>
      </w:r>
      <w:r>
        <w:rPr>
          <w:rFonts w:hint="eastAsia" w:cs="Times New Roman"/>
          <w:color w:val="1F2329"/>
          <w:sz w:val="24"/>
          <w:szCs w:val="24"/>
          <w:lang w:val="en-US" w:eastAsia="zh-CN"/>
        </w:rPr>
        <w:t>科室</w:t>
      </w:r>
      <w:r>
        <w:rPr>
          <w:rFonts w:ascii="GWZT-EN" w:hAnsi="Times New Roman" w:eastAsia="宋体" w:cs="Times New Roman"/>
          <w:color w:val="1F2329"/>
          <w:sz w:val="24"/>
          <w:szCs w:val="24"/>
        </w:rPr>
        <w:t>确认的布局方案为依据。</w:t>
      </w:r>
    </w:p>
    <w:p w14:paraId="63E589E8">
      <w:pPr>
        <w:pStyle w:val="2"/>
        <w:widowControl/>
        <w:numPr>
          <w:ilvl w:val="0"/>
          <w:numId w:val="1"/>
        </w:numPr>
        <w:topLinePunct w:val="0"/>
        <w:ind w:left="0" w:leftChars="0" w:firstLine="0" w:firstLineChars="0"/>
        <w:rPr>
          <w:rFonts w:hint="eastAsia" w:ascii="GWZT-EN" w:hAnsi="黑体" w:eastAsia="黑体" w:cs="黑体"/>
          <w:b w:val="0"/>
          <w:bCs w:val="0"/>
        </w:rPr>
      </w:pPr>
      <w:r>
        <w:rPr>
          <w:rFonts w:ascii="GWZT-EN"/>
          <w:b w:val="0"/>
          <w:bCs w:val="0"/>
        </w:rPr>
        <w:t>核心服务范围及工作内容</w:t>
      </w:r>
    </w:p>
    <w:p w14:paraId="6410AB74">
      <w:pPr>
        <w:pStyle w:val="11"/>
        <w:widowControl/>
        <w:pBdr>
          <w:top w:val="none" w:color="auto" w:sz="0" w:space="0"/>
          <w:left w:val="none" w:color="auto" w:sz="0" w:space="0"/>
          <w:bottom w:val="none" w:color="auto" w:sz="0" w:space="0"/>
          <w:right w:val="none" w:color="auto" w:sz="0" w:space="0"/>
        </w:pBdr>
        <w:rPr>
          <w:rFonts w:ascii="GWZT-EN" w:hAnsi="Times New Roman" w:eastAsia="宋体" w:cs="Times New Roman"/>
          <w:color w:val="1F2329"/>
          <w:sz w:val="24"/>
          <w:szCs w:val="24"/>
        </w:rPr>
      </w:pPr>
      <w:r>
        <w:rPr>
          <w:rFonts w:ascii="GWZT-EN" w:hAnsi="Times New Roman" w:eastAsia="宋体" w:cs="Times New Roman"/>
          <w:color w:val="1F2329"/>
          <w:sz w:val="24"/>
          <w:szCs w:val="24"/>
        </w:rPr>
        <w:t>本项目以</w:t>
      </w:r>
      <w:r>
        <w:rPr>
          <w:rFonts w:hint="eastAsia" w:cs="Times New Roman"/>
          <w:color w:val="1F2329"/>
          <w:sz w:val="24"/>
          <w:szCs w:val="24"/>
          <w:lang w:val="en-US" w:eastAsia="zh-CN"/>
        </w:rPr>
        <w:t>设计深化优化、全过程</w:t>
      </w:r>
      <w:r>
        <w:rPr>
          <w:rStyle w:val="160"/>
          <w:rFonts w:ascii="GWZT-EN" w:hAnsi="Times New Roman" w:eastAsia="宋体" w:cs="Times New Roman"/>
          <w:color w:val="1F2329"/>
          <w:sz w:val="24"/>
          <w:szCs w:val="24"/>
        </w:rPr>
        <w:t>造价咨询为主服务</w:t>
      </w:r>
      <w:r>
        <w:rPr>
          <w:rFonts w:ascii="GWZT-EN" w:hAnsi="Times New Roman" w:eastAsia="宋体" w:cs="Times New Roman"/>
          <w:color w:val="1F2329"/>
          <w:sz w:val="24"/>
          <w:szCs w:val="24"/>
        </w:rPr>
        <w:t>。中标单位依托现有完整施工图纸开展</w:t>
      </w:r>
      <w:r>
        <w:rPr>
          <w:rFonts w:hint="eastAsia" w:cs="Times New Roman"/>
          <w:color w:val="1F2329"/>
          <w:sz w:val="24"/>
          <w:szCs w:val="24"/>
          <w:lang w:val="en-US" w:eastAsia="zh-CN"/>
        </w:rPr>
        <w:t>设计深化优化、全过程</w:t>
      </w:r>
      <w:r>
        <w:rPr>
          <w:rFonts w:ascii="GWZT-EN" w:hAnsi="Times New Roman" w:eastAsia="宋体" w:cs="Times New Roman"/>
          <w:color w:val="1F2329"/>
          <w:sz w:val="24"/>
          <w:szCs w:val="24"/>
        </w:rPr>
        <w:t>造价</w:t>
      </w:r>
      <w:r>
        <w:rPr>
          <w:rFonts w:hint="eastAsia" w:cs="Times New Roman"/>
          <w:color w:val="1F2329"/>
          <w:sz w:val="24"/>
          <w:szCs w:val="24"/>
          <w:lang w:val="en-US" w:eastAsia="zh-CN"/>
        </w:rPr>
        <w:t>咨询</w:t>
      </w:r>
      <w:r>
        <w:rPr>
          <w:rFonts w:ascii="GWZT-EN" w:hAnsi="Times New Roman" w:eastAsia="宋体" w:cs="Times New Roman"/>
          <w:color w:val="1F2329"/>
          <w:sz w:val="24"/>
          <w:szCs w:val="24"/>
        </w:rPr>
        <w:t>工作，面积尺寸结合现场实际工况、</w:t>
      </w:r>
      <w:r>
        <w:rPr>
          <w:rFonts w:hint="eastAsia" w:cs="Times New Roman"/>
          <w:color w:val="1F2329"/>
          <w:sz w:val="24"/>
          <w:szCs w:val="24"/>
          <w:lang w:val="en-US" w:eastAsia="zh-CN"/>
        </w:rPr>
        <w:t>设计规范</w:t>
      </w:r>
      <w:r>
        <w:rPr>
          <w:rFonts w:ascii="GWZT-EN" w:hAnsi="Times New Roman" w:eastAsia="宋体" w:cs="Times New Roman"/>
          <w:color w:val="1F2329"/>
          <w:sz w:val="24"/>
          <w:szCs w:val="24"/>
        </w:rPr>
        <w:t>、医疗专项</w:t>
      </w:r>
      <w:r>
        <w:rPr>
          <w:rFonts w:hint="eastAsia" w:cs="Times New Roman"/>
          <w:color w:val="1F2329"/>
          <w:sz w:val="24"/>
          <w:szCs w:val="24"/>
          <w:lang w:val="en-US" w:eastAsia="zh-CN"/>
        </w:rPr>
        <w:t>按科室</w:t>
      </w:r>
      <w:r>
        <w:rPr>
          <w:rFonts w:ascii="GWZT-EN" w:hAnsi="Times New Roman" w:eastAsia="宋体" w:cs="Times New Roman"/>
          <w:color w:val="1F2329"/>
          <w:sz w:val="24"/>
          <w:szCs w:val="24"/>
        </w:rPr>
        <w:t>需求</w:t>
      </w:r>
      <w:r>
        <w:rPr>
          <w:rFonts w:hint="eastAsia" w:cs="Times New Roman"/>
          <w:color w:val="1F2329"/>
          <w:sz w:val="24"/>
          <w:szCs w:val="24"/>
          <w:lang w:val="en-US" w:eastAsia="zh-CN"/>
        </w:rPr>
        <w:t>进行</w:t>
      </w:r>
      <w:r>
        <w:rPr>
          <w:rFonts w:ascii="GWZT-EN" w:hAnsi="Times New Roman" w:eastAsia="宋体" w:cs="Times New Roman"/>
          <w:color w:val="1F2329"/>
          <w:sz w:val="24"/>
          <w:szCs w:val="24"/>
        </w:rPr>
        <w:t>深化优化；项目科室平面布局、房间功能划分可由中标单位配合建设单位、各使用科室共同商议调整确定，所有计量面积据实测算，布局调整方案需多方共同确认后方可落地。</w:t>
      </w:r>
    </w:p>
    <w:p w14:paraId="590B5F78">
      <w:pPr>
        <w:pStyle w:val="3"/>
        <w:widowControl/>
        <w:numPr>
          <w:ilvl w:val="0"/>
          <w:numId w:val="3"/>
        </w:numPr>
        <w:topLinePunct w:val="0"/>
        <w:ind w:left="0" w:leftChars="0" w:firstLine="0" w:firstLineChars="0"/>
        <w:rPr>
          <w:rFonts w:hint="eastAsia" w:ascii="GWZT-EN" w:hAnsi="黑体" w:eastAsia="黑体" w:cs="黑体"/>
          <w:b w:val="0"/>
          <w:bCs w:val="0"/>
        </w:rPr>
      </w:pPr>
      <w:r>
        <w:rPr>
          <w:rFonts w:ascii="GWZT-EN"/>
          <w:b w:val="0"/>
          <w:bCs w:val="0"/>
        </w:rPr>
        <w:t>工程造价咨询全流程服务</w:t>
      </w:r>
    </w:p>
    <w:p w14:paraId="3E8FB168">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工程量清单编制</w:t>
      </w:r>
      <w:r>
        <w:rPr>
          <w:rFonts w:ascii="GWZT-EN" w:hAnsi="Times New Roman" w:eastAsia="宋体" w:cs="Times New Roman"/>
          <w:color w:val="1F2329"/>
          <w:sz w:val="24"/>
          <w:szCs w:val="24"/>
        </w:rPr>
        <w:t xml:space="preserve"> 以现有施工图纸为基础，结合现场实测、多方共同确认后的科室布局深化图纸，所有房间、分区建筑面积、构件尺寸均按现场实际情况据实计量；依据现行计价规范、地方定额、当期造价信息及医疗装修市场行情，严格遵循 360 万元总预算管控要求，分区域、分专业编制完整工程量清单；保证清单无漏项、错项，工程量计算精准，项目特征描述完整清晰，适配调整后科室布局及医疗体检空间专项施工工艺。</w:t>
      </w:r>
    </w:p>
    <w:p w14:paraId="03D34531">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招标控制价（最高投标限价）编制</w:t>
      </w:r>
      <w:r>
        <w:rPr>
          <w:rFonts w:ascii="GWZT-EN" w:hAnsi="Times New Roman" w:eastAsia="宋体" w:cs="Times New Roman"/>
          <w:color w:val="1F2329"/>
          <w:sz w:val="24"/>
          <w:szCs w:val="24"/>
        </w:rPr>
        <w:t xml:space="preserve"> 结合多方确认的科室布局深化图纸、据实编制招标控制价，总价严格控制在 360 万元预算以内；配套出具造价编制说明、综合单价分析、分部分项总价汇总等全套造价文件，确保成果合规、经济合理。若因布局调整后初步编制限价超预算，中标单位须无偿优化选材、工艺，调整</w:t>
      </w:r>
      <w:r>
        <w:rPr>
          <w:rFonts w:hint="eastAsia" w:cs="Times New Roman"/>
          <w:color w:val="1F2329"/>
          <w:sz w:val="24"/>
          <w:szCs w:val="24"/>
          <w:lang w:val="en-US" w:eastAsia="zh-CN"/>
        </w:rPr>
        <w:t>造价在</w:t>
      </w:r>
      <w:r>
        <w:rPr>
          <w:rFonts w:ascii="GWZT-EN" w:hAnsi="Times New Roman" w:eastAsia="宋体" w:cs="Times New Roman"/>
          <w:color w:val="1F2329"/>
          <w:sz w:val="24"/>
          <w:szCs w:val="24"/>
        </w:rPr>
        <w:t>限额内。</w:t>
      </w:r>
    </w:p>
    <w:p w14:paraId="6F229E20">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清单与控制价审核配合</w:t>
      </w:r>
      <w:r>
        <w:rPr>
          <w:rFonts w:ascii="GWZT-EN" w:hAnsi="Times New Roman" w:eastAsia="宋体" w:cs="Times New Roman"/>
          <w:color w:val="1F2329"/>
          <w:sz w:val="24"/>
          <w:szCs w:val="24"/>
        </w:rPr>
        <w:t xml:space="preserve"> 全程配合建设单位、各使用科室、第三方审核机构完成清单、控制价核对、答疑、整改；针对审核意见，结合现场实际面积、最终确定的科室布局重新核算调整，及时出具修正版造价资料，无偿完成多轮调整优化。</w:t>
      </w:r>
    </w:p>
    <w:p w14:paraId="65F6111E">
      <w:pPr>
        <w:pStyle w:val="11"/>
        <w:widowControl/>
        <w:numPr>
          <w:ilvl w:val="0"/>
          <w:numId w:val="4"/>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招标及施工阶段造价配套服务</w:t>
      </w:r>
      <w:r>
        <w:rPr>
          <w:rFonts w:ascii="GWZT-EN" w:hAnsi="Times New Roman" w:eastAsia="宋体" w:cs="Times New Roman"/>
          <w:color w:val="1F2329"/>
          <w:sz w:val="24"/>
          <w:szCs w:val="24"/>
        </w:rPr>
        <w:t xml:space="preserve"> 施工招标阶段，统一答复各投标单位清单、计价、面积计量、科室布局相关疑问；施工全过程提供造价支撑：工程变更及签证造价审核、月度进度款核对、现场造价答疑、竣工结算前期资料梳理、结算核对等，计量计价均以现场实际发生尺寸、面积、各方确认的科室布局为准，全程落实预算管控，直至项目竣工审计完成。</w:t>
      </w:r>
    </w:p>
    <w:p w14:paraId="6243C849">
      <w:pPr>
        <w:pStyle w:val="3"/>
        <w:widowControl/>
        <w:numPr>
          <w:ilvl w:val="0"/>
          <w:numId w:val="3"/>
        </w:numPr>
        <w:topLinePunct w:val="0"/>
        <w:ind w:left="0" w:leftChars="0" w:firstLine="0" w:firstLineChars="0"/>
        <w:rPr>
          <w:rFonts w:hint="eastAsia" w:ascii="GWZT-EN" w:hAnsi="黑体" w:eastAsia="黑体" w:cs="黑体"/>
          <w:b w:val="0"/>
          <w:bCs w:val="0"/>
        </w:rPr>
      </w:pPr>
      <w:r>
        <w:rPr>
          <w:rFonts w:ascii="GWZT-EN"/>
          <w:b w:val="0"/>
          <w:bCs w:val="0"/>
        </w:rPr>
        <w:t>施工图深化</w:t>
      </w:r>
      <w:r>
        <w:rPr>
          <w:rFonts w:hint="eastAsia"/>
          <w:b w:val="0"/>
          <w:bCs w:val="0"/>
          <w:lang w:val="en-US" w:eastAsia="zh-CN"/>
        </w:rPr>
        <w:t>优化</w:t>
      </w:r>
      <w:r>
        <w:rPr>
          <w:rFonts w:ascii="GWZT-EN"/>
          <w:b w:val="0"/>
          <w:bCs w:val="0"/>
        </w:rPr>
        <w:t>服务（依托原有完整图纸，按需</w:t>
      </w:r>
      <w:r>
        <w:rPr>
          <w:rFonts w:hint="eastAsia"/>
          <w:b w:val="0"/>
          <w:bCs w:val="0"/>
          <w:lang w:val="en-US" w:eastAsia="zh-CN"/>
        </w:rPr>
        <w:t>深化</w:t>
      </w:r>
      <w:r>
        <w:rPr>
          <w:rFonts w:ascii="GWZT-EN"/>
          <w:b w:val="0"/>
          <w:bCs w:val="0"/>
        </w:rPr>
        <w:t>优化，面积据实、</w:t>
      </w:r>
      <w:r>
        <w:rPr>
          <w:rFonts w:hint="eastAsia"/>
          <w:b w:val="0"/>
          <w:bCs w:val="0"/>
          <w:lang w:val="en-US" w:eastAsia="zh-CN"/>
        </w:rPr>
        <w:t>方案</w:t>
      </w:r>
      <w:r>
        <w:rPr>
          <w:rFonts w:ascii="GWZT-EN"/>
          <w:b w:val="0"/>
          <w:bCs w:val="0"/>
        </w:rPr>
        <w:t>联合科室商定</w:t>
      </w:r>
      <w:r>
        <w:rPr>
          <w:rFonts w:hint="eastAsia"/>
          <w:b w:val="0"/>
          <w:bCs w:val="0"/>
          <w:lang w:val="en-US" w:eastAsia="zh-CN"/>
        </w:rPr>
        <w:t>出具优化图纸</w:t>
      </w:r>
      <w:r>
        <w:rPr>
          <w:rFonts w:ascii="GWZT-EN"/>
          <w:b w:val="0"/>
          <w:bCs w:val="0"/>
        </w:rPr>
        <w:t>）</w:t>
      </w:r>
    </w:p>
    <w:p w14:paraId="426BF047">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图纸优化与布局调整</w:t>
      </w:r>
      <w:r>
        <w:rPr>
          <w:rFonts w:ascii="GWZT-EN" w:hAnsi="Times New Roman" w:eastAsia="宋体" w:cs="Times New Roman"/>
          <w:color w:val="1F2329"/>
          <w:sz w:val="24"/>
          <w:szCs w:val="24"/>
        </w:rPr>
        <w:t xml:space="preserve"> 以现有全套施工图纸为基础，对照医疗建筑、室内装修、消防、无障碍等现行规范，结合体检中心运营需求、各科室使用诉求，联合建设单位、各使用科室共同研讨、确定科室平面布局、房间功能划分调整方案；结合现场实测尺寸，针对图纸错漏碰缺、管线冲突、施工落地难点、医用设施点位、通风消毒隔音构造等内容细化优化；建筑面积、分区尺寸根据现场实际情况据实调整，所有布局改动必须经建设单位及对应科室共同确认后方可实施。</w:t>
      </w:r>
    </w:p>
    <w:p w14:paraId="76D4F6B1">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医疗专项空间深化</w:t>
      </w:r>
      <w:r>
        <w:rPr>
          <w:rFonts w:ascii="GWZT-EN" w:hAnsi="Times New Roman" w:eastAsia="宋体" w:cs="Times New Roman"/>
          <w:color w:val="1F2329"/>
          <w:sz w:val="24"/>
          <w:szCs w:val="24"/>
        </w:rPr>
        <w:t xml:space="preserve"> 针对男女隐私诊疗区、封闭式体检区、采血、抢救等特殊房间，结合科室使用诉求、现场实际空间尺寸按需完善专项节点、医用设备安装大样、消毒通风构造、私密隔音做法等细化图纸，满足医疗卫生运营标准及科室使用需求。</w:t>
      </w:r>
    </w:p>
    <w:p w14:paraId="010DF949">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图纸报审、交底及现场调整</w:t>
      </w:r>
      <w:r>
        <w:rPr>
          <w:rFonts w:ascii="GWZT-EN" w:hAnsi="Times New Roman" w:eastAsia="宋体" w:cs="Times New Roman"/>
          <w:color w:val="1F2329"/>
          <w:sz w:val="24"/>
          <w:szCs w:val="24"/>
        </w:rPr>
        <w:t xml:space="preserve"> 配合甲方、各使用科室完成图纸内部审核、主管部门报审，根据审核意见、科室使用反馈、现场实际工况、实测面积、规范要求修改补图；对接施工、监理单位开展图纸技术交底，处理现场洽商、布局微调类设计变更技术配合，所有调整均以现场实际尺寸、多方确认的科室布局方案为依据。</w:t>
      </w:r>
    </w:p>
    <w:p w14:paraId="1FA55A6A">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配套深化图纸成果交付</w:t>
      </w:r>
      <w:r>
        <w:rPr>
          <w:rFonts w:ascii="GWZT-EN" w:hAnsi="Times New Roman" w:eastAsia="宋体" w:cs="Times New Roman"/>
          <w:color w:val="1F2329"/>
          <w:sz w:val="24"/>
          <w:szCs w:val="24"/>
        </w:rPr>
        <w:t xml:space="preserve"> 按需交付深化 CAD 电子版、PDF 图纸、蓝图、材料清单、设备技术参数、装修做法表等配套资料，图纸标注各分区实测实际面积、附各方签字确认的科室布局调整记录，作为造价编制、现场施工的支撑依据。</w:t>
      </w:r>
    </w:p>
    <w:p w14:paraId="59F8B853">
      <w:pPr>
        <w:pStyle w:val="3"/>
        <w:widowControl/>
        <w:numPr>
          <w:ilvl w:val="0"/>
          <w:numId w:val="3"/>
        </w:numPr>
        <w:topLinePunct w:val="0"/>
        <w:ind w:left="0" w:leftChars="0" w:firstLine="0" w:firstLineChars="0"/>
        <w:rPr>
          <w:rFonts w:hint="eastAsia" w:ascii="GWZT-EN" w:hAnsi="黑体" w:eastAsia="黑体" w:cs="黑体"/>
          <w:b w:val="0"/>
          <w:bCs w:val="0"/>
        </w:rPr>
      </w:pPr>
      <w:r>
        <w:rPr>
          <w:rFonts w:ascii="GWZT-EN"/>
          <w:b w:val="0"/>
          <w:bCs w:val="0"/>
        </w:rPr>
        <w:t>统筹协同工作</w:t>
      </w:r>
    </w:p>
    <w:p w14:paraId="462C04EB">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统筹图纸深化、科室布局研讨与造价编制工作，图纸分区、构件面积均按现场实际据实核算；布局调整后同步校核造价，确保深化图纸选材、工艺、工程量与清单计价口径统一，任何布局改动均不能突破 360 万元总预算约束。</w:t>
      </w:r>
    </w:p>
    <w:p w14:paraId="43AD0AC0">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按时参加项目例会、科室布局研讨会议、现场踏勘、实测丈量、技术对接会，主动对接各科室收集使用需求，服从甲方工作调度。</w:t>
      </w:r>
    </w:p>
    <w:p w14:paraId="4B3AC264">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严格按照甲方指定时间节点交付全套造价主成果及配套深化图纸资料。</w:t>
      </w:r>
    </w:p>
    <w:p w14:paraId="4A47826C">
      <w:pPr>
        <w:pStyle w:val="2"/>
        <w:widowControl/>
        <w:numPr>
          <w:ilvl w:val="0"/>
          <w:numId w:val="1"/>
        </w:numPr>
        <w:topLinePunct w:val="0"/>
        <w:ind w:left="0" w:leftChars="0" w:firstLine="0" w:firstLineChars="0"/>
        <w:rPr>
          <w:rFonts w:hint="eastAsia" w:ascii="GWZT-EN" w:hAnsi="黑体" w:eastAsia="黑体" w:cs="黑体"/>
          <w:b w:val="0"/>
          <w:bCs w:val="0"/>
        </w:rPr>
      </w:pPr>
      <w:r>
        <w:rPr>
          <w:rFonts w:ascii="GWZT-EN"/>
          <w:b w:val="0"/>
          <w:bCs w:val="0"/>
        </w:rPr>
        <w:t>服务要求</w:t>
      </w:r>
    </w:p>
    <w:p w14:paraId="1C9A1551">
      <w:pPr>
        <w:pStyle w:val="3"/>
        <w:widowControl/>
        <w:numPr>
          <w:ilvl w:val="0"/>
          <w:numId w:val="7"/>
        </w:numPr>
        <w:topLinePunct w:val="0"/>
        <w:ind w:left="0" w:leftChars="0" w:firstLine="0" w:firstLineChars="0"/>
        <w:rPr>
          <w:rFonts w:hint="eastAsia" w:ascii="GWZT-EN" w:hAnsi="黑体" w:eastAsia="黑体" w:cs="黑体"/>
          <w:b w:val="0"/>
          <w:bCs w:val="0"/>
        </w:rPr>
      </w:pPr>
      <w:r>
        <w:rPr>
          <w:rFonts w:ascii="GWZT-EN"/>
          <w:b w:val="0"/>
          <w:bCs w:val="0"/>
        </w:rPr>
        <w:t>资质及人员要求</w:t>
      </w:r>
    </w:p>
    <w:p w14:paraId="50539DFB">
      <w:pPr>
        <w:pStyle w:val="11"/>
        <w:widowControl/>
        <w:numPr>
          <w:ilvl w:val="0"/>
          <w:numId w:val="8"/>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投标人须</w:t>
      </w:r>
      <w:r>
        <w:rPr>
          <w:rFonts w:hint="eastAsia" w:cs="Times New Roman"/>
          <w:color w:val="1F2329"/>
          <w:sz w:val="24"/>
          <w:szCs w:val="24"/>
          <w:lang w:val="en-US" w:eastAsia="zh-CN"/>
        </w:rPr>
        <w:t>同时具备</w:t>
      </w:r>
      <w:r>
        <w:rPr>
          <w:rFonts w:ascii="GWZT-EN" w:hAnsi="Times New Roman" w:eastAsia="宋体" w:cs="Times New Roman"/>
          <w:color w:val="1F2329"/>
          <w:sz w:val="24"/>
          <w:szCs w:val="24"/>
        </w:rPr>
        <w:t>具备工程造价咨询</w:t>
      </w:r>
      <w:r>
        <w:rPr>
          <w:rFonts w:hint="eastAsia" w:cs="Times New Roman"/>
          <w:color w:val="1F2329"/>
          <w:sz w:val="24"/>
          <w:szCs w:val="24"/>
          <w:lang w:val="en-US" w:eastAsia="zh-CN"/>
        </w:rPr>
        <w:t>服务能力和</w:t>
      </w:r>
      <w:r>
        <w:rPr>
          <w:rFonts w:ascii="GWZT-EN" w:hAnsi="Times New Roman" w:eastAsia="宋体" w:cs="Times New Roman"/>
          <w:color w:val="1F2329"/>
          <w:sz w:val="24"/>
          <w:szCs w:val="24"/>
        </w:rPr>
        <w:t>建筑工程设计相关资质；拥有医院、体检中心室内改造造价咨询及配套图纸深化同类项目服务经验，熟悉医疗科室需求对接、现场实测、据实计量工作流程。</w:t>
      </w:r>
    </w:p>
    <w:p w14:paraId="5B7B2BC6">
      <w:pPr>
        <w:pStyle w:val="11"/>
        <w:widowControl/>
        <w:numPr>
          <w:ilvl w:val="0"/>
          <w:numId w:val="8"/>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项目团队配置专职造价项目总负责人、各专业造价人员，同步配备建筑</w:t>
      </w:r>
      <w:r>
        <w:rPr>
          <w:rFonts w:hint="eastAsia" w:cs="Times New Roman"/>
          <w:color w:val="1F2329"/>
          <w:sz w:val="24"/>
          <w:szCs w:val="24"/>
          <w:lang w:eastAsia="zh-CN"/>
        </w:rPr>
        <w:t>、</w:t>
      </w:r>
      <w:r>
        <w:rPr>
          <w:rFonts w:hint="eastAsia" w:cs="Times New Roman"/>
          <w:color w:val="1F2329"/>
          <w:sz w:val="24"/>
          <w:szCs w:val="24"/>
          <w:lang w:val="en-US" w:eastAsia="zh-CN"/>
        </w:rPr>
        <w:t>装饰</w:t>
      </w:r>
      <w:r>
        <w:rPr>
          <w:rFonts w:ascii="GWZT-EN" w:hAnsi="Times New Roman" w:eastAsia="宋体" w:cs="Times New Roman"/>
          <w:color w:val="1F2329"/>
          <w:sz w:val="24"/>
          <w:szCs w:val="24"/>
        </w:rPr>
        <w:t>、机电深化设计人员；所有人员具备对应执业资格，拥有医疗装修项目科室沟通、现场实测、面积核算实操经验，未经甲方许可不得更换项目核心人员。</w:t>
      </w:r>
    </w:p>
    <w:p w14:paraId="213EA8F5">
      <w:pPr>
        <w:pStyle w:val="11"/>
        <w:widowControl/>
        <w:numPr>
          <w:ilvl w:val="0"/>
          <w:numId w:val="8"/>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 xml:space="preserve">近 3 年内至少完成 </w:t>
      </w:r>
      <w:r>
        <w:rPr>
          <w:rFonts w:hint="eastAsia" w:cs="Times New Roman"/>
          <w:color w:val="1F2329"/>
          <w:sz w:val="24"/>
          <w:szCs w:val="24"/>
          <w:lang w:val="en-US" w:eastAsia="zh-CN"/>
        </w:rPr>
        <w:t>5</w:t>
      </w:r>
      <w:r>
        <w:rPr>
          <w:rFonts w:ascii="GWZT-EN" w:hAnsi="Times New Roman" w:eastAsia="宋体" w:cs="Times New Roman"/>
          <w:color w:val="1F2329"/>
          <w:sz w:val="24"/>
          <w:szCs w:val="24"/>
        </w:rPr>
        <w:t xml:space="preserve"> 项医院</w:t>
      </w:r>
      <w:r>
        <w:rPr>
          <w:rFonts w:hint="eastAsia" w:cs="Times New Roman"/>
          <w:color w:val="1F2329"/>
          <w:sz w:val="24"/>
          <w:szCs w:val="24"/>
          <w:lang w:val="en-US" w:eastAsia="zh-CN"/>
        </w:rPr>
        <w:t>类改造项目业绩</w:t>
      </w:r>
      <w:r>
        <w:rPr>
          <w:rFonts w:ascii="GWZT-EN" w:hAnsi="Times New Roman" w:eastAsia="宋体" w:cs="Times New Roman"/>
          <w:color w:val="1F2329"/>
          <w:sz w:val="24"/>
          <w:szCs w:val="24"/>
        </w:rPr>
        <w:t>（</w:t>
      </w:r>
      <w:r>
        <w:rPr>
          <w:rFonts w:ascii="GWZT-EN" w:hAnsi="Times New Roman" w:eastAsia="宋体" w:cs="Times New Roman"/>
          <w:color w:val="1F2329"/>
          <w:sz w:val="24"/>
          <w:szCs w:val="24"/>
        </w:rPr>
        <w:t>类似业绩</w:t>
      </w:r>
      <w:r>
        <w:rPr>
          <w:rFonts w:hint="eastAsia" w:cs="Times New Roman"/>
          <w:color w:val="1F2329"/>
          <w:sz w:val="24"/>
          <w:szCs w:val="24"/>
          <w:lang w:val="en-US" w:eastAsia="zh-CN"/>
        </w:rPr>
        <w:t>至少包含医院设计、造价咨询、全过程咨询其中一项服务内容</w:t>
      </w:r>
      <w:r>
        <w:rPr>
          <w:rFonts w:ascii="GWZT-EN" w:hAnsi="Times New Roman" w:eastAsia="宋体" w:cs="Times New Roman"/>
          <w:color w:val="1F2329"/>
          <w:sz w:val="24"/>
          <w:szCs w:val="24"/>
        </w:rPr>
        <w:t>），投标时提供合同、</w:t>
      </w:r>
      <w:r>
        <w:rPr>
          <w:rFonts w:hint="eastAsia" w:cs="Times New Roman"/>
          <w:color w:val="1F2329"/>
          <w:sz w:val="24"/>
          <w:szCs w:val="24"/>
          <w:lang w:val="en-US" w:eastAsia="zh-CN"/>
        </w:rPr>
        <w:t>中标通知书</w:t>
      </w:r>
      <w:r>
        <w:rPr>
          <w:rFonts w:ascii="GWZT-EN" w:hAnsi="Times New Roman" w:eastAsia="宋体" w:cs="Times New Roman"/>
          <w:color w:val="1F2329"/>
          <w:sz w:val="24"/>
          <w:szCs w:val="24"/>
        </w:rPr>
        <w:t>等佐证材料。</w:t>
      </w:r>
    </w:p>
    <w:p w14:paraId="06E9A70D">
      <w:pPr>
        <w:pStyle w:val="3"/>
        <w:widowControl/>
        <w:numPr>
          <w:ilvl w:val="0"/>
          <w:numId w:val="7"/>
        </w:numPr>
        <w:topLinePunct w:val="0"/>
        <w:ind w:left="0" w:leftChars="0" w:firstLine="0" w:firstLineChars="0"/>
        <w:rPr>
          <w:rFonts w:hint="eastAsia" w:ascii="GWZT-EN" w:hAnsi="黑体" w:eastAsia="黑体" w:cs="黑体"/>
          <w:b w:val="0"/>
          <w:bCs w:val="0"/>
        </w:rPr>
      </w:pPr>
      <w:r>
        <w:rPr>
          <w:rFonts w:ascii="GWZT-EN"/>
          <w:b w:val="0"/>
          <w:bCs w:val="0"/>
        </w:rPr>
        <w:t>技术标准要求</w:t>
      </w:r>
    </w:p>
    <w:p w14:paraId="101CCD3A">
      <w:pPr>
        <w:pStyle w:val="11"/>
        <w:widowControl/>
        <w:numPr>
          <w:ilvl w:val="0"/>
          <w:numId w:val="9"/>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造价编制、图纸深化均执行国家及省市现行《建设工程工程量清单计价规范》《综合医院建筑设计规范》、地方定额、消防、医疗卫生、室内装饰相关标准，工程量、建筑面积计量严格遵循计量规范，以现场实际丈量数据为准。</w:t>
      </w:r>
    </w:p>
    <w:p w14:paraId="449D478F">
      <w:pPr>
        <w:pStyle w:val="11"/>
        <w:widowControl/>
        <w:numPr>
          <w:ilvl w:val="0"/>
          <w:numId w:val="9"/>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项目原有基础动线框架可保留，科室房间布局、功能分区可由中标单位配合建设单位、各使用科室共同商议调整，调整方案需多方签字确认；各区域面积根据现场实际情况同步匹配调整。</w:t>
      </w:r>
    </w:p>
    <w:p w14:paraId="286D6DD0">
      <w:pPr>
        <w:pStyle w:val="11"/>
        <w:widowControl/>
        <w:numPr>
          <w:ilvl w:val="0"/>
          <w:numId w:val="9"/>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采血室、妇科、抢救室等医疗专项空间的图纸深化、组价计价，必须匹配医用卫生、防护、私密、通风消毒专项要求，空间尺寸、设备点位结合科室实际使用诉求据实设计、据实计量。</w:t>
      </w:r>
    </w:p>
    <w:p w14:paraId="515A9379">
      <w:pPr>
        <w:pStyle w:val="11"/>
        <w:widowControl/>
        <w:numPr>
          <w:ilvl w:val="0"/>
          <w:numId w:val="9"/>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图纸选材、设备选型、施工工艺需结合 360 万元预算统筹平衡，在满足规范、科室使用需求前提下，结合现场实际面积控制造价成本；若布局调整导致造价超支，须无偿优化方案控制投资。</w:t>
      </w:r>
    </w:p>
    <w:p w14:paraId="0660132F">
      <w:pPr>
        <w:pStyle w:val="3"/>
        <w:widowControl/>
        <w:numPr>
          <w:ilvl w:val="0"/>
          <w:numId w:val="7"/>
        </w:numPr>
        <w:topLinePunct w:val="0"/>
        <w:ind w:left="0" w:leftChars="0" w:firstLine="0" w:firstLineChars="0"/>
        <w:rPr>
          <w:rFonts w:hint="eastAsia" w:ascii="GWZT-EN" w:hAnsi="黑体" w:eastAsia="黑体" w:cs="黑体"/>
          <w:b w:val="0"/>
          <w:bCs w:val="0"/>
        </w:rPr>
      </w:pPr>
      <w:r>
        <w:rPr>
          <w:rFonts w:ascii="GWZT-EN"/>
          <w:b w:val="0"/>
          <w:bCs w:val="0"/>
        </w:rPr>
        <w:t>工期与成果交付要求</w:t>
      </w:r>
    </w:p>
    <w:p w14:paraId="427C581E">
      <w:pPr>
        <w:pStyle w:val="11"/>
        <w:widowControl/>
        <w:numPr>
          <w:ilvl w:val="0"/>
          <w:numId w:val="10"/>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成果交付：优先交付全套造价成果（工程量清单、招标控制价及配套报表、纸质 + 电子版文件，清单标注各区域实测实际面积）；同步按需交付配套深化施工图纸，图纸附现场实测面积表、科室布局确认单，资料份数按</w:t>
      </w:r>
      <w:r>
        <w:rPr>
          <w:rFonts w:hint="eastAsia" w:cs="Times New Roman"/>
          <w:color w:val="1F2329"/>
          <w:sz w:val="24"/>
          <w:szCs w:val="24"/>
          <w:lang w:val="en-US" w:eastAsia="zh-CN"/>
        </w:rPr>
        <w:t>8份</w:t>
      </w:r>
      <w:r>
        <w:rPr>
          <w:rFonts w:ascii="GWZT-EN" w:hAnsi="Times New Roman" w:eastAsia="宋体" w:cs="Times New Roman"/>
          <w:color w:val="1F2329"/>
          <w:sz w:val="24"/>
          <w:szCs w:val="24"/>
        </w:rPr>
        <w:t>提供。</w:t>
      </w:r>
    </w:p>
    <w:p w14:paraId="0BA9F837">
      <w:pPr>
        <w:pStyle w:val="11"/>
        <w:widowControl/>
        <w:numPr>
          <w:ilvl w:val="0"/>
          <w:numId w:val="10"/>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 xml:space="preserve">服务工期：合同签订后 </w:t>
      </w:r>
      <w:r>
        <w:rPr>
          <w:rFonts w:hint="eastAsia" w:cs="Times New Roman"/>
          <w:color w:val="1F2329"/>
          <w:sz w:val="24"/>
          <w:szCs w:val="24"/>
          <w:lang w:val="en-US" w:eastAsia="zh-CN"/>
        </w:rPr>
        <w:t>30</w:t>
      </w:r>
      <w:r>
        <w:rPr>
          <w:rFonts w:ascii="GWZT-EN" w:hAnsi="Times New Roman" w:eastAsia="宋体" w:cs="Times New Roman"/>
          <w:color w:val="1F2329"/>
          <w:sz w:val="24"/>
          <w:szCs w:val="24"/>
        </w:rPr>
        <w:t>日历天内完成科室需求对接、现场实测、图纸深化、工程量清单、招标控制价编制并通过甲方、各使用科室及第三方审核；后续持续提供造价、图纸技术配合服务至项目竣工验收、竣工结算审计完毕。</w:t>
      </w:r>
    </w:p>
    <w:p w14:paraId="290F441F">
      <w:pPr>
        <w:pStyle w:val="11"/>
        <w:widowControl/>
        <w:numPr>
          <w:ilvl w:val="0"/>
          <w:numId w:val="10"/>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因科室布局调整、报审、审核、现场尺寸调整、预算优化产生的图纸、造价修改工作，中标单位须在甲方规定时限内无偿完成科室复沟通、现场复测、图纸整改、造价重新核算。</w:t>
      </w:r>
    </w:p>
    <w:p w14:paraId="22445BA7">
      <w:pPr>
        <w:pStyle w:val="3"/>
        <w:widowControl/>
        <w:numPr>
          <w:ilvl w:val="0"/>
          <w:numId w:val="7"/>
        </w:numPr>
        <w:topLinePunct w:val="0"/>
        <w:ind w:left="0" w:leftChars="0" w:firstLine="0" w:firstLineChars="0"/>
        <w:rPr>
          <w:rFonts w:hint="eastAsia" w:ascii="GWZT-EN" w:hAnsi="黑体" w:eastAsia="黑体" w:cs="黑体"/>
          <w:b w:val="0"/>
          <w:bCs w:val="0"/>
        </w:rPr>
      </w:pPr>
      <w:r>
        <w:rPr>
          <w:rFonts w:ascii="GWZT-EN"/>
          <w:b w:val="0"/>
          <w:bCs w:val="0"/>
        </w:rPr>
        <w:t>服务质量要求</w:t>
      </w:r>
    </w:p>
    <w:p w14:paraId="2DF54E60">
      <w:pPr>
        <w:pStyle w:val="11"/>
        <w:widowControl/>
        <w:numPr>
          <w:ilvl w:val="0"/>
          <w:numId w:val="11"/>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hint="eastAsia" w:cs="Times New Roman"/>
          <w:color w:val="1F2329"/>
          <w:sz w:val="24"/>
          <w:szCs w:val="24"/>
          <w:lang w:val="en-US" w:eastAsia="zh-CN"/>
        </w:rPr>
        <w:t>设计深化优化、</w:t>
      </w:r>
      <w:r>
        <w:rPr>
          <w:rFonts w:ascii="GWZT-EN" w:hAnsi="Times New Roman" w:eastAsia="宋体" w:cs="Times New Roman"/>
          <w:color w:val="1F2329"/>
          <w:sz w:val="24"/>
          <w:szCs w:val="24"/>
        </w:rPr>
        <w:t>造价</w:t>
      </w:r>
      <w:r>
        <w:rPr>
          <w:rFonts w:hint="eastAsia" w:cs="Times New Roman"/>
          <w:color w:val="1F2329"/>
          <w:sz w:val="24"/>
          <w:szCs w:val="24"/>
          <w:lang w:val="en-US" w:eastAsia="zh-CN"/>
        </w:rPr>
        <w:t>咨询</w:t>
      </w:r>
      <w:r>
        <w:rPr>
          <w:rFonts w:ascii="GWZT-EN" w:hAnsi="Times New Roman" w:eastAsia="宋体" w:cs="Times New Roman"/>
          <w:color w:val="1F2329"/>
          <w:sz w:val="24"/>
          <w:szCs w:val="24"/>
        </w:rPr>
        <w:t>成果为核心管控重点：所有工程量、建筑面积均按现场实际据实测算，组价、取费准确，无重大漏算、错算；招标控制价不得突破 360 万元总预算，因未实地实测、面积核算失误、布局调整未同步控价造成预算失控、项目损失，由中标单位无偿整改并承担相应责任。</w:t>
      </w:r>
    </w:p>
    <w:p w14:paraId="4E6CF027">
      <w:pPr>
        <w:pStyle w:val="11"/>
        <w:widowControl/>
        <w:numPr>
          <w:ilvl w:val="0"/>
          <w:numId w:val="11"/>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图纸结合科室需求、现场实际尺寸完善，完整、节点清晰，消除施工错漏；因图纸布局、尺寸深化失误导致返工，中标单位承担整改成本。</w:t>
      </w:r>
    </w:p>
    <w:p w14:paraId="3B0D7670">
      <w:pPr>
        <w:pStyle w:val="11"/>
        <w:widowControl/>
        <w:numPr>
          <w:ilvl w:val="0"/>
          <w:numId w:val="11"/>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服务响应时效：甲方、各科室提出造价答疑、图纸调整、现场复测需求后 24 小时内响应，现场实测、科室沟通、造价、图纸技术支持随叫随到。</w:t>
      </w:r>
    </w:p>
    <w:p w14:paraId="1DC2082F">
      <w:pPr>
        <w:pStyle w:val="2"/>
        <w:widowControl/>
        <w:numPr>
          <w:ilvl w:val="0"/>
          <w:numId w:val="1"/>
        </w:numPr>
        <w:topLinePunct w:val="0"/>
        <w:ind w:left="0" w:leftChars="0" w:firstLine="0" w:firstLineChars="0"/>
        <w:rPr>
          <w:rFonts w:hint="eastAsia" w:ascii="GWZT-EN" w:hAnsi="黑体" w:eastAsia="黑体" w:cs="黑体"/>
          <w:b w:val="0"/>
          <w:bCs w:val="0"/>
        </w:rPr>
      </w:pPr>
      <w:r>
        <w:rPr>
          <w:rFonts w:ascii="GWZT-EN"/>
          <w:b w:val="0"/>
          <w:bCs w:val="0"/>
        </w:rPr>
        <w:t>商务及其他要求</w:t>
      </w:r>
    </w:p>
    <w:p w14:paraId="1DA80D70">
      <w:pPr>
        <w:pStyle w:val="11"/>
        <w:widowControl/>
        <w:numPr>
          <w:ilvl w:val="0"/>
          <w:numId w:val="12"/>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服务计价方式</w:t>
      </w:r>
      <w:r>
        <w:rPr>
          <w:rFonts w:ascii="GWZT-EN" w:hAnsi="Times New Roman" w:eastAsia="宋体" w:cs="Times New Roman"/>
          <w:color w:val="1F2329"/>
          <w:sz w:val="24"/>
          <w:szCs w:val="24"/>
        </w:rPr>
        <w:t>：本项目总价包干，</w:t>
      </w:r>
      <w:r>
        <w:rPr>
          <w:rFonts w:hint="eastAsia" w:cs="Times New Roman"/>
          <w:color w:val="1F2329"/>
          <w:sz w:val="24"/>
          <w:szCs w:val="24"/>
          <w:lang w:val="en-US" w:eastAsia="zh-CN"/>
        </w:rPr>
        <w:t>设计深化优化、</w:t>
      </w:r>
      <w:r>
        <w:rPr>
          <w:rFonts w:ascii="GWZT-EN" w:hAnsi="Times New Roman" w:eastAsia="宋体" w:cs="Times New Roman"/>
          <w:color w:val="1F2329"/>
          <w:sz w:val="24"/>
          <w:szCs w:val="24"/>
        </w:rPr>
        <w:t>造价咨询服务为主体，包含科室需求对接研讨、现场实地丈量、面积实测、配套图纸深化所有人工、图纸打印、交通、税费、报审配合、预算优化、现场服务等全部费用，甲方无需额外支付任何费用。</w:t>
      </w:r>
    </w:p>
    <w:p w14:paraId="2E37F2BD">
      <w:pPr>
        <w:pStyle w:val="11"/>
        <w:widowControl/>
        <w:numPr>
          <w:ilvl w:val="0"/>
          <w:numId w:val="12"/>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知识产权约定</w:t>
      </w:r>
      <w:r>
        <w:rPr>
          <w:rFonts w:ascii="GWZT-EN" w:hAnsi="Times New Roman" w:eastAsia="宋体" w:cs="Times New Roman"/>
          <w:color w:val="1F2329"/>
          <w:sz w:val="24"/>
          <w:szCs w:val="24"/>
        </w:rPr>
        <w:t>：本项目全部造价文件、配套深化图纸、科室布局方案知识产权归属建设单位，中标单位不得私自使用、转发、外泄。</w:t>
      </w:r>
    </w:p>
    <w:p w14:paraId="3B516EEF">
      <w:pPr>
        <w:pStyle w:val="11"/>
        <w:widowControl/>
        <w:numPr>
          <w:ilvl w:val="0"/>
          <w:numId w:val="12"/>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保密义务</w:t>
      </w:r>
      <w:r>
        <w:rPr>
          <w:rFonts w:ascii="GWZT-EN" w:hAnsi="Times New Roman" w:eastAsia="宋体" w:cs="Times New Roman"/>
          <w:color w:val="1F2329"/>
          <w:sz w:val="24"/>
          <w:szCs w:val="24"/>
        </w:rPr>
        <w:t>：中标单位及全体项目人员对项目实测面积数据、造价数据、体检中心布局、科室功能规划、封闭体检流程、图纸资料严格保密，严禁对外泄露。</w:t>
      </w:r>
    </w:p>
    <w:p w14:paraId="7BA04AA0">
      <w:pPr>
        <w:pStyle w:val="11"/>
        <w:widowControl/>
        <w:numPr>
          <w:ilvl w:val="0"/>
          <w:numId w:val="12"/>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全过程配合义务</w:t>
      </w:r>
      <w:r>
        <w:rPr>
          <w:rFonts w:ascii="GWZT-EN" w:hAnsi="Times New Roman" w:eastAsia="宋体" w:cs="Times New Roman"/>
          <w:color w:val="1F2329"/>
          <w:sz w:val="24"/>
          <w:szCs w:val="24"/>
        </w:rPr>
        <w:t>：中标单位需无条件配合工程招标、科室需求研讨、现场复测、施工、现场验收、竣工审计全流程造价及图纸技术工作，直至项目全部收尾。</w:t>
      </w:r>
    </w:p>
    <w:p w14:paraId="384DDF27">
      <w:pPr>
        <w:pStyle w:val="11"/>
        <w:widowControl/>
        <w:numPr>
          <w:ilvl w:val="0"/>
          <w:numId w:val="12"/>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Style w:val="160"/>
          <w:rFonts w:ascii="GWZT-EN" w:hAnsi="Times New Roman" w:eastAsia="宋体" w:cs="Times New Roman"/>
          <w:color w:val="1F2329"/>
          <w:sz w:val="24"/>
          <w:szCs w:val="24"/>
        </w:rPr>
        <w:t>转包分包限制</w:t>
      </w:r>
      <w:r>
        <w:rPr>
          <w:rFonts w:ascii="GWZT-EN" w:hAnsi="Times New Roman" w:eastAsia="宋体" w:cs="Times New Roman"/>
          <w:color w:val="1F2329"/>
          <w:sz w:val="24"/>
          <w:szCs w:val="24"/>
        </w:rPr>
        <w:t>：本项目</w:t>
      </w:r>
      <w:r>
        <w:rPr>
          <w:rFonts w:hint="eastAsia" w:cs="Times New Roman"/>
          <w:color w:val="1F2329"/>
          <w:sz w:val="24"/>
          <w:szCs w:val="24"/>
          <w:lang w:val="en-US" w:eastAsia="zh-CN"/>
        </w:rPr>
        <w:t>设计深化优化、</w:t>
      </w:r>
      <w:r>
        <w:rPr>
          <w:rFonts w:ascii="GWZT-EN" w:hAnsi="Times New Roman" w:eastAsia="宋体" w:cs="Times New Roman"/>
          <w:color w:val="1F2329"/>
          <w:sz w:val="24"/>
          <w:szCs w:val="24"/>
        </w:rPr>
        <w:t>造价咨询服务严禁转包、违法分包，图纸深化、科室布局对接、现场实测配套工作不得单独分包，一经查实甲方有权终止合同并追究违约责任。</w:t>
      </w:r>
    </w:p>
    <w:p w14:paraId="2BEA8F22">
      <w:pPr>
        <w:pStyle w:val="2"/>
        <w:widowControl/>
        <w:numPr>
          <w:ilvl w:val="0"/>
          <w:numId w:val="1"/>
        </w:numPr>
        <w:topLinePunct w:val="0"/>
        <w:ind w:left="0" w:leftChars="0" w:firstLine="0" w:firstLineChars="0"/>
        <w:rPr>
          <w:rFonts w:hint="eastAsia" w:ascii="GWZT-EN" w:hAnsi="黑体" w:eastAsia="黑体" w:cs="黑体"/>
          <w:b w:val="0"/>
          <w:bCs w:val="0"/>
        </w:rPr>
      </w:pPr>
      <w:r>
        <w:rPr>
          <w:rFonts w:ascii="GWZT-EN"/>
          <w:b w:val="0"/>
          <w:bCs w:val="0"/>
        </w:rPr>
        <w:t>项目验收标准</w:t>
      </w:r>
    </w:p>
    <w:p w14:paraId="46F9E008">
      <w:pPr>
        <w:pStyle w:val="11"/>
        <w:widowControl/>
        <w:numPr>
          <w:ilvl w:val="0"/>
          <w:numId w:val="13"/>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造价成果验收（核心验收项）：工程量清单按现场实际面积据实计量，符合计价规范，计算无误、列项完整；招标控制价总价不超过 360 万元预算，顺利通过甲方、各使用科室及第三方造价审核；全过程造价资料齐全、实测面积台账完整、科室布局确认文件齐备、数据准确，满足招标、结算审计使用要求。</w:t>
      </w:r>
    </w:p>
    <w:p w14:paraId="69750BB9">
      <w:pPr>
        <w:pStyle w:val="11"/>
        <w:widowControl/>
        <w:numPr>
          <w:ilvl w:val="0"/>
          <w:numId w:val="13"/>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配套深化图纸验收：图纸科室布局经建设单位及相关科室共同确认，符合医疗、消防、装修</w:t>
      </w:r>
      <w:r>
        <w:rPr>
          <w:rFonts w:hint="eastAsia" w:cs="Times New Roman"/>
          <w:color w:val="1F2329"/>
          <w:sz w:val="24"/>
          <w:szCs w:val="24"/>
          <w:lang w:val="en-US" w:eastAsia="zh-CN"/>
        </w:rPr>
        <w:t>等</w:t>
      </w:r>
      <w:r>
        <w:rPr>
          <w:rFonts w:ascii="GWZT-EN" w:hAnsi="Times New Roman" w:eastAsia="宋体" w:cs="Times New Roman"/>
          <w:color w:val="1F2329"/>
          <w:sz w:val="24"/>
          <w:szCs w:val="24"/>
        </w:rPr>
        <w:t>规范，各分区尺寸、建筑面积根据现场实际情况据实调整，错漏问题整改完毕，可支撑现场施工及报审，选材工艺匹配预算管控要求。</w:t>
      </w:r>
    </w:p>
    <w:p w14:paraId="6152AB17">
      <w:pPr>
        <w:pStyle w:val="11"/>
        <w:widowControl/>
        <w:numPr>
          <w:ilvl w:val="0"/>
          <w:numId w:val="13"/>
        </w:numPr>
        <w:pBdr>
          <w:top w:val="none" w:color="auto" w:sz="0" w:space="0"/>
          <w:left w:val="none" w:color="auto" w:sz="0" w:space="0"/>
          <w:bottom w:val="none" w:color="auto" w:sz="0" w:space="0"/>
          <w:right w:val="none" w:color="auto" w:sz="0" w:space="0"/>
        </w:pBdr>
        <w:ind w:left="0" w:leftChars="0" w:firstLine="480" w:firstLineChars="0"/>
        <w:rPr>
          <w:rFonts w:ascii="GWZT-EN" w:hAnsi="Times New Roman" w:eastAsia="宋体" w:cs="Times New Roman"/>
          <w:b w:val="0"/>
          <w:color w:val="1F2329"/>
          <w:sz w:val="24"/>
          <w:szCs w:val="24"/>
        </w:rPr>
      </w:pPr>
      <w:r>
        <w:rPr>
          <w:rFonts w:ascii="GWZT-EN" w:hAnsi="Times New Roman" w:eastAsia="宋体" w:cs="Times New Roman"/>
          <w:color w:val="1F2329"/>
          <w:sz w:val="24"/>
          <w:szCs w:val="24"/>
        </w:rPr>
        <w:t>综合服务验收：造价、图纸成果按期交付，完成多轮科室需求对接、现场实测丈量工作，全过程答疑、现场配合、布局优化、预算调整、图纸整改工作落实到位，整体服务满足项目建设进度及各科室使用需求。</w:t>
      </w:r>
    </w:p>
    <w:p w14:paraId="42C644C2">
      <w:pPr>
        <w:pStyle w:val="2"/>
        <w:widowControl/>
        <w:numPr>
          <w:ilvl w:val="0"/>
          <w:numId w:val="1"/>
        </w:numPr>
        <w:topLinePunct w:val="0"/>
        <w:ind w:left="0" w:leftChars="0" w:firstLine="0" w:firstLineChars="0"/>
        <w:rPr>
          <w:rFonts w:hint="eastAsia" w:ascii="GWZT-EN" w:hAnsi="黑体" w:eastAsia="黑体" w:cs="黑体"/>
          <w:b w:val="0"/>
          <w:bCs w:val="0"/>
        </w:rPr>
      </w:pPr>
      <w:r>
        <w:rPr>
          <w:rFonts w:hint="eastAsia" w:hAnsi="黑体" w:cs="黑体"/>
          <w:b w:val="0"/>
          <w:bCs w:val="0"/>
          <w:lang w:val="en-US" w:eastAsia="zh-CN"/>
        </w:rPr>
        <w:t>服务费用，设计深化优化费用8万元，全过程造价咨询费用8万元，合计16万元。</w:t>
      </w:r>
      <w:bookmarkStart w:id="0" w:name="_GoBack"/>
      <w:bookmarkEnd w:id="0"/>
    </w:p>
    <w:p w14:paraId="512D17D3">
      <w:pPr>
        <w:pStyle w:val="11"/>
        <w:widowControl/>
        <w:numPr>
          <w:numId w:val="0"/>
        </w:numPr>
        <w:pBdr>
          <w:top w:val="none" w:color="auto" w:sz="0" w:space="0"/>
          <w:left w:val="none" w:color="auto" w:sz="0" w:space="0"/>
          <w:bottom w:val="none" w:color="auto" w:sz="0" w:space="0"/>
          <w:right w:val="none" w:color="auto" w:sz="0" w:space="0"/>
        </w:pBdr>
        <w:ind w:left="480" w:leftChars="0"/>
        <w:rPr>
          <w:rFonts w:ascii="GWZT-EN" w:hAnsi="Times New Roman" w:eastAsia="宋体" w:cs="Times New Roman"/>
          <w:b w:val="0"/>
          <w:color w:val="1F2329"/>
          <w:sz w:val="24"/>
          <w:szCs w:val="24"/>
        </w:rPr>
      </w:pPr>
    </w:p>
    <w:p w14:paraId="55955B71">
      <w:pPr>
        <w:pStyle w:val="11"/>
        <w:bidi w:val="0"/>
        <w:rPr>
          <w:rFonts w:ascii="GWZT-EN"/>
        </w:rPr>
      </w:pPr>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
      <w:cols w:space="425" w:num="1"/>
      <w:docGrid w:type="linesAndChars" w:linePitch="579" w:charSpace="15"/>
    </w:sectPr>
  </w:body>
</w:document>
</file>

<file path=word/customizations.xml><?xml version="1.0" encoding="utf-8"?>
<wne:tcg xmlns:r="http://schemas.openxmlformats.org/officeDocument/2006/relationships" xmlns:wne="http://schemas.microsoft.com/office/word/2006/wordml">
  <wne:keymaps>
    <wne:keymap wne:kcmPrimary="06DE">
      <wne:fci wne:fciName="Wpsaigc"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GWZT-EN">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B756">
    <w:pPr>
      <w:pStyle w:val="12"/>
      <w:rPr>
        <w:rFonts w:ascii="GWZT-EN"/>
      </w:rPr>
    </w:pPr>
    <w:r>
      <w:rPr>
        <w:rFonts w:ascii="GWZT-E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01E5A">
                          <w:pPr>
                            <w:pStyle w:val="12"/>
                            <w:rPr>
                              <w:rFonts w:ascii="GWZT-EN" w:hAnsi="GWZT-EN" w:eastAsia="GWZT-EN" w:cs="GWZT-EN"/>
                              <w:b w:val="0"/>
                              <w:bCs w:val="0"/>
                              <w:sz w:val="28"/>
                            </w:rPr>
                          </w:pPr>
                          <w:r>
                            <w:rPr>
                              <w:rFonts w:ascii="GWZT-EN" w:hAnsi="GWZT-EN" w:eastAsia="GWZT-EN" w:cs="GWZT-EN"/>
                              <w:b w:val="0"/>
                              <w:bCs w:val="0"/>
                              <w:sz w:val="28"/>
                            </w:rPr>
                            <w:t>—</w:t>
                          </w:r>
                          <w:r>
                            <w:rPr>
                              <w:rFonts w:ascii="GWZT-EN" w:hAnsi="GWZT-EN" w:eastAsia="GWZT-EN" w:cs="GWZT-EN"/>
                              <w:b w:val="0"/>
                              <w:bCs w:val="0"/>
                              <w:sz w:val="24"/>
                            </w:rPr>
                            <w:t xml:space="preserve"> </w:t>
                          </w:r>
                          <w:r>
                            <w:rPr>
                              <w:rFonts w:ascii="GWZT-EN" w:hAnsi="GWZT-EN" w:eastAsia="GWZT-EN" w:cs="GWZT-EN"/>
                              <w:b w:val="0"/>
                              <w:bCs w:val="0"/>
                              <w:sz w:val="28"/>
                            </w:rPr>
                            <w:fldChar w:fldCharType="begin"/>
                          </w:r>
                          <w:r>
                            <w:rPr>
                              <w:rFonts w:ascii="GWZT-EN" w:hAnsi="GWZT-EN" w:eastAsia="GWZT-EN" w:cs="GWZT-EN"/>
                              <w:b w:val="0"/>
                              <w:bCs w:val="0"/>
                              <w:sz w:val="28"/>
                            </w:rPr>
                            <w:instrText xml:space="preserve"> PAGE  \* MERGEFORMAT </w:instrText>
                          </w:r>
                          <w:r>
                            <w:rPr>
                              <w:rFonts w:ascii="GWZT-EN" w:hAnsi="GWZT-EN" w:eastAsia="GWZT-EN" w:cs="GWZT-EN"/>
                              <w:b w:val="0"/>
                              <w:bCs w:val="0"/>
                              <w:sz w:val="28"/>
                            </w:rPr>
                            <w:fldChar w:fldCharType="separate"/>
                          </w:r>
                          <w:r>
                            <w:rPr>
                              <w:rFonts w:ascii="GWZT-EN" w:hAnsi="GWZT-EN" w:eastAsia="GWZT-EN" w:cs="GWZT-EN"/>
                              <w:b w:val="0"/>
                              <w:bCs w:val="0"/>
                              <w:sz w:val="28"/>
                            </w:rPr>
                            <w:t>1</w:t>
                          </w:r>
                          <w:r>
                            <w:rPr>
                              <w:rFonts w:ascii="GWZT-EN" w:hAnsi="GWZT-EN" w:eastAsia="GWZT-EN" w:cs="GWZT-EN"/>
                              <w:b w:val="0"/>
                              <w:bCs w:val="0"/>
                              <w:sz w:val="28"/>
                            </w:rPr>
                            <w:fldChar w:fldCharType="end"/>
                          </w:r>
                          <w:r>
                            <w:rPr>
                              <w:rFonts w:ascii="GWZT-EN" w:hAnsi="GWZT-EN" w:eastAsia="GWZT-EN" w:cs="GWZT-EN"/>
                              <w:b w:val="0"/>
                              <w:bCs w:val="0"/>
                              <w:sz w:val="24"/>
                            </w:rPr>
                            <w:t xml:space="preserve"> </w:t>
                          </w:r>
                          <w:r>
                            <w:rPr>
                              <w:rFonts w:ascii="GWZT-EN" w:hAnsi="GWZT-EN" w:eastAsia="GWZT-EN" w:cs="GWZT-EN"/>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8301E5A">
                    <w:pPr>
                      <w:pStyle w:val="12"/>
                      <w:rPr>
                        <w:rFonts w:ascii="GWZT-EN" w:hAnsi="GWZT-EN" w:eastAsia="GWZT-EN" w:cs="GWZT-EN"/>
                        <w:b w:val="0"/>
                        <w:bCs w:val="0"/>
                        <w:sz w:val="28"/>
                      </w:rPr>
                    </w:pPr>
                    <w:r>
                      <w:rPr>
                        <w:rFonts w:ascii="GWZT-EN" w:hAnsi="GWZT-EN" w:eastAsia="GWZT-EN" w:cs="GWZT-EN"/>
                        <w:b w:val="0"/>
                        <w:bCs w:val="0"/>
                        <w:sz w:val="28"/>
                      </w:rPr>
                      <w:t>—</w:t>
                    </w:r>
                    <w:r>
                      <w:rPr>
                        <w:rFonts w:ascii="GWZT-EN" w:hAnsi="GWZT-EN" w:eastAsia="GWZT-EN" w:cs="GWZT-EN"/>
                        <w:b w:val="0"/>
                        <w:bCs w:val="0"/>
                        <w:sz w:val="24"/>
                      </w:rPr>
                      <w:t xml:space="preserve"> </w:t>
                    </w:r>
                    <w:r>
                      <w:rPr>
                        <w:rFonts w:ascii="GWZT-EN" w:hAnsi="GWZT-EN" w:eastAsia="GWZT-EN" w:cs="GWZT-EN"/>
                        <w:b w:val="0"/>
                        <w:bCs w:val="0"/>
                        <w:sz w:val="28"/>
                      </w:rPr>
                      <w:fldChar w:fldCharType="begin"/>
                    </w:r>
                    <w:r>
                      <w:rPr>
                        <w:rFonts w:ascii="GWZT-EN" w:hAnsi="GWZT-EN" w:eastAsia="GWZT-EN" w:cs="GWZT-EN"/>
                        <w:b w:val="0"/>
                        <w:bCs w:val="0"/>
                        <w:sz w:val="28"/>
                      </w:rPr>
                      <w:instrText xml:space="preserve"> PAGE  \* MERGEFORMAT </w:instrText>
                    </w:r>
                    <w:r>
                      <w:rPr>
                        <w:rFonts w:ascii="GWZT-EN" w:hAnsi="GWZT-EN" w:eastAsia="GWZT-EN" w:cs="GWZT-EN"/>
                        <w:b w:val="0"/>
                        <w:bCs w:val="0"/>
                        <w:sz w:val="28"/>
                      </w:rPr>
                      <w:fldChar w:fldCharType="separate"/>
                    </w:r>
                    <w:r>
                      <w:rPr>
                        <w:rFonts w:ascii="GWZT-EN" w:hAnsi="GWZT-EN" w:eastAsia="GWZT-EN" w:cs="GWZT-EN"/>
                        <w:b w:val="0"/>
                        <w:bCs w:val="0"/>
                        <w:sz w:val="28"/>
                      </w:rPr>
                      <w:t>1</w:t>
                    </w:r>
                    <w:r>
                      <w:rPr>
                        <w:rFonts w:ascii="GWZT-EN" w:hAnsi="GWZT-EN" w:eastAsia="GWZT-EN" w:cs="GWZT-EN"/>
                        <w:b w:val="0"/>
                        <w:bCs w:val="0"/>
                        <w:sz w:val="28"/>
                      </w:rPr>
                      <w:fldChar w:fldCharType="end"/>
                    </w:r>
                    <w:r>
                      <w:rPr>
                        <w:rFonts w:ascii="GWZT-EN" w:hAnsi="GWZT-EN" w:eastAsia="GWZT-EN" w:cs="GWZT-EN"/>
                        <w:b w:val="0"/>
                        <w:bCs w:val="0"/>
                        <w:sz w:val="24"/>
                      </w:rPr>
                      <w:t xml:space="preserve"> </w:t>
                    </w:r>
                    <w:r>
                      <w:rPr>
                        <w:rFonts w:ascii="GWZT-EN" w:hAnsi="GWZT-EN" w:eastAsia="GWZT-EN" w:cs="GWZT-EN"/>
                        <w:b w:val="0"/>
                        <w:bCs w:val="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BB5D9">
    <w:pPr>
      <w:pStyle w:val="12"/>
      <w:rPr>
        <w:rFonts w:ascii="GWZT-EN"/>
      </w:rPr>
    </w:pPr>
    <w:r>
      <w:rPr>
        <w:rFonts w:ascii="GWZT-E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DE445">
                          <w:pPr>
                            <w:pStyle w:val="12"/>
                            <w:rPr>
                              <w:rFonts w:ascii="GWZT-EN" w:hAnsi="GWZT-EN" w:eastAsia="GWZT-EN" w:cs="GWZT-EN"/>
                              <w:b w:val="0"/>
                              <w:bCs w:val="0"/>
                              <w:sz w:val="28"/>
                            </w:rPr>
                          </w:pPr>
                          <w:r>
                            <w:rPr>
                              <w:rFonts w:ascii="GWZT-EN" w:hAnsi="GWZT-EN" w:eastAsia="GWZT-EN" w:cs="GWZT-EN"/>
                              <w:b w:val="0"/>
                              <w:bCs w:val="0"/>
                              <w:sz w:val="28"/>
                            </w:rPr>
                            <w:t>—</w:t>
                          </w:r>
                          <w:r>
                            <w:rPr>
                              <w:rFonts w:ascii="GWZT-EN" w:hAnsi="GWZT-EN" w:eastAsia="GWZT-EN" w:cs="GWZT-EN"/>
                              <w:b w:val="0"/>
                              <w:bCs w:val="0"/>
                              <w:sz w:val="24"/>
                            </w:rPr>
                            <w:t xml:space="preserve"> </w:t>
                          </w:r>
                          <w:r>
                            <w:rPr>
                              <w:rFonts w:ascii="GWZT-EN" w:hAnsi="GWZT-EN" w:eastAsia="GWZT-EN" w:cs="GWZT-EN"/>
                              <w:b w:val="0"/>
                              <w:bCs w:val="0"/>
                              <w:sz w:val="28"/>
                            </w:rPr>
                            <w:fldChar w:fldCharType="begin"/>
                          </w:r>
                          <w:r>
                            <w:rPr>
                              <w:rFonts w:ascii="GWZT-EN" w:hAnsi="GWZT-EN" w:eastAsia="GWZT-EN" w:cs="GWZT-EN"/>
                              <w:b w:val="0"/>
                              <w:bCs w:val="0"/>
                              <w:sz w:val="28"/>
                            </w:rPr>
                            <w:instrText xml:space="preserve"> PAGE  \* MERGEFORMAT </w:instrText>
                          </w:r>
                          <w:r>
                            <w:rPr>
                              <w:rFonts w:ascii="GWZT-EN" w:hAnsi="GWZT-EN" w:eastAsia="GWZT-EN" w:cs="GWZT-EN"/>
                              <w:b w:val="0"/>
                              <w:bCs w:val="0"/>
                              <w:sz w:val="28"/>
                            </w:rPr>
                            <w:fldChar w:fldCharType="separate"/>
                          </w:r>
                          <w:r>
                            <w:rPr>
                              <w:rFonts w:ascii="GWZT-EN" w:hAnsi="GWZT-EN" w:eastAsia="GWZT-EN" w:cs="GWZT-EN"/>
                              <w:b w:val="0"/>
                              <w:bCs w:val="0"/>
                              <w:sz w:val="28"/>
                            </w:rPr>
                            <w:t>2</w:t>
                          </w:r>
                          <w:r>
                            <w:rPr>
                              <w:rFonts w:ascii="GWZT-EN" w:hAnsi="GWZT-EN" w:eastAsia="GWZT-EN" w:cs="GWZT-EN"/>
                              <w:b w:val="0"/>
                              <w:bCs w:val="0"/>
                              <w:sz w:val="28"/>
                            </w:rPr>
                            <w:fldChar w:fldCharType="end"/>
                          </w:r>
                          <w:r>
                            <w:rPr>
                              <w:rFonts w:ascii="GWZT-EN" w:hAnsi="GWZT-EN" w:eastAsia="GWZT-EN" w:cs="GWZT-EN"/>
                              <w:b w:val="0"/>
                              <w:bCs w:val="0"/>
                              <w:sz w:val="24"/>
                            </w:rPr>
                            <w:t xml:space="preserve"> </w:t>
                          </w:r>
                          <w:r>
                            <w:rPr>
                              <w:rFonts w:ascii="GWZT-EN" w:hAnsi="GWZT-EN" w:eastAsia="GWZT-EN" w:cs="GWZT-EN"/>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4AEDE445">
                    <w:pPr>
                      <w:pStyle w:val="12"/>
                      <w:rPr>
                        <w:rFonts w:ascii="GWZT-EN" w:hAnsi="GWZT-EN" w:eastAsia="GWZT-EN" w:cs="GWZT-EN"/>
                        <w:b w:val="0"/>
                        <w:bCs w:val="0"/>
                        <w:sz w:val="28"/>
                      </w:rPr>
                    </w:pPr>
                    <w:r>
                      <w:rPr>
                        <w:rFonts w:ascii="GWZT-EN" w:hAnsi="GWZT-EN" w:eastAsia="GWZT-EN" w:cs="GWZT-EN"/>
                        <w:b w:val="0"/>
                        <w:bCs w:val="0"/>
                        <w:sz w:val="28"/>
                      </w:rPr>
                      <w:t>—</w:t>
                    </w:r>
                    <w:r>
                      <w:rPr>
                        <w:rFonts w:ascii="GWZT-EN" w:hAnsi="GWZT-EN" w:eastAsia="GWZT-EN" w:cs="GWZT-EN"/>
                        <w:b w:val="0"/>
                        <w:bCs w:val="0"/>
                        <w:sz w:val="24"/>
                      </w:rPr>
                      <w:t xml:space="preserve"> </w:t>
                    </w:r>
                    <w:r>
                      <w:rPr>
                        <w:rFonts w:ascii="GWZT-EN" w:hAnsi="GWZT-EN" w:eastAsia="GWZT-EN" w:cs="GWZT-EN"/>
                        <w:b w:val="0"/>
                        <w:bCs w:val="0"/>
                        <w:sz w:val="28"/>
                      </w:rPr>
                      <w:fldChar w:fldCharType="begin"/>
                    </w:r>
                    <w:r>
                      <w:rPr>
                        <w:rFonts w:ascii="GWZT-EN" w:hAnsi="GWZT-EN" w:eastAsia="GWZT-EN" w:cs="GWZT-EN"/>
                        <w:b w:val="0"/>
                        <w:bCs w:val="0"/>
                        <w:sz w:val="28"/>
                      </w:rPr>
                      <w:instrText xml:space="preserve"> PAGE  \* MERGEFORMAT </w:instrText>
                    </w:r>
                    <w:r>
                      <w:rPr>
                        <w:rFonts w:ascii="GWZT-EN" w:hAnsi="GWZT-EN" w:eastAsia="GWZT-EN" w:cs="GWZT-EN"/>
                        <w:b w:val="0"/>
                        <w:bCs w:val="0"/>
                        <w:sz w:val="28"/>
                      </w:rPr>
                      <w:fldChar w:fldCharType="separate"/>
                    </w:r>
                    <w:r>
                      <w:rPr>
                        <w:rFonts w:ascii="GWZT-EN" w:hAnsi="GWZT-EN" w:eastAsia="GWZT-EN" w:cs="GWZT-EN"/>
                        <w:b w:val="0"/>
                        <w:bCs w:val="0"/>
                        <w:sz w:val="28"/>
                      </w:rPr>
                      <w:t>2</w:t>
                    </w:r>
                    <w:r>
                      <w:rPr>
                        <w:rFonts w:ascii="GWZT-EN" w:hAnsi="GWZT-EN" w:eastAsia="GWZT-EN" w:cs="GWZT-EN"/>
                        <w:b w:val="0"/>
                        <w:bCs w:val="0"/>
                        <w:sz w:val="28"/>
                      </w:rPr>
                      <w:fldChar w:fldCharType="end"/>
                    </w:r>
                    <w:r>
                      <w:rPr>
                        <w:rFonts w:ascii="GWZT-EN" w:hAnsi="GWZT-EN" w:eastAsia="GWZT-EN" w:cs="GWZT-EN"/>
                        <w:b w:val="0"/>
                        <w:bCs w:val="0"/>
                        <w:sz w:val="24"/>
                      </w:rPr>
                      <w:t xml:space="preserve"> </w:t>
                    </w:r>
                    <w:r>
                      <w:rPr>
                        <w:rFonts w:ascii="GWZT-EN" w:hAnsi="GWZT-EN" w:eastAsia="GWZT-EN" w:cs="GWZT-EN"/>
                        <w:b w:val="0"/>
                        <w:bCs w:val="0"/>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DE49">
    <w:pPr>
      <w:pStyle w:val="13"/>
      <w:pBdr>
        <w:bottom w:val="none" w:color="auto" w:sz="0" w:space="1"/>
      </w:pBdr>
      <w:rPr>
        <w:rFonts w:ascii="GWZT-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6A8C4">
    <w:pPr>
      <w:pStyle w:val="13"/>
      <w:pBdr>
        <w:bottom w:val="none" w:color="auto" w:sz="0" w:space="1"/>
      </w:pBdr>
      <w:rPr>
        <w:rFonts w:ascii="GWZT-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CC00B"/>
    <w:multiLevelType w:val="singleLevel"/>
    <w:tmpl w:val="967CC00B"/>
    <w:lvl w:ilvl="0" w:tentative="0">
      <w:start w:val="1"/>
      <w:numFmt w:val="decimal"/>
      <w:suff w:val="space"/>
      <w:lvlText w:val="%1."/>
      <w:lvlJc w:val="left"/>
      <w:pPr>
        <w:ind w:left="0" w:firstLine="480"/>
      </w:pPr>
      <w:rPr>
        <w:rFonts w:hint="default" w:ascii="GWZT-EN"/>
      </w:rPr>
    </w:lvl>
  </w:abstractNum>
  <w:abstractNum w:abstractNumId="1">
    <w:nsid w:val="B5416447"/>
    <w:multiLevelType w:val="singleLevel"/>
    <w:tmpl w:val="B5416447"/>
    <w:lvl w:ilvl="0" w:tentative="0">
      <w:start w:val="1"/>
      <w:numFmt w:val="decimal"/>
      <w:suff w:val="space"/>
      <w:lvlText w:val="%1."/>
      <w:lvlJc w:val="left"/>
      <w:pPr>
        <w:ind w:left="0" w:firstLine="480"/>
      </w:pPr>
      <w:rPr>
        <w:rFonts w:hint="default" w:ascii="GWZT-EN"/>
      </w:rPr>
    </w:lvl>
  </w:abstractNum>
  <w:abstractNum w:abstractNumId="2">
    <w:nsid w:val="BE8E2BF0"/>
    <w:multiLevelType w:val="singleLevel"/>
    <w:tmpl w:val="BE8E2BF0"/>
    <w:lvl w:ilvl="0" w:tentative="0">
      <w:start w:val="1"/>
      <w:numFmt w:val="decimal"/>
      <w:suff w:val="space"/>
      <w:lvlText w:val="%1."/>
      <w:lvlJc w:val="left"/>
      <w:pPr>
        <w:ind w:left="0" w:firstLine="480"/>
      </w:pPr>
      <w:rPr>
        <w:rFonts w:hint="default" w:ascii="GWZT-EN"/>
      </w:rPr>
    </w:lvl>
  </w:abstractNum>
  <w:abstractNum w:abstractNumId="3">
    <w:nsid w:val="FCAB2F07"/>
    <w:multiLevelType w:val="singleLevel"/>
    <w:tmpl w:val="FCAB2F07"/>
    <w:lvl w:ilvl="0" w:tentative="0">
      <w:start w:val="1"/>
      <w:numFmt w:val="decimal"/>
      <w:suff w:val="space"/>
      <w:lvlText w:val="%1."/>
      <w:lvlJc w:val="left"/>
      <w:pPr>
        <w:ind w:left="0" w:firstLine="480"/>
      </w:pPr>
      <w:rPr>
        <w:rFonts w:hint="default" w:ascii="GWZT-EN"/>
      </w:rPr>
    </w:lvl>
  </w:abstractNum>
  <w:abstractNum w:abstractNumId="4">
    <w:nsid w:val="1BCD2DB3"/>
    <w:multiLevelType w:val="singleLevel"/>
    <w:tmpl w:val="1BCD2DB3"/>
    <w:lvl w:ilvl="0" w:tentative="0">
      <w:start w:val="1"/>
      <w:numFmt w:val="chineseCounting"/>
      <w:suff w:val="nothing"/>
      <w:lvlText w:val="（%1）"/>
      <w:lvlJc w:val="left"/>
      <w:pPr>
        <w:ind w:left="0" w:firstLine="0"/>
      </w:pPr>
      <w:rPr>
        <w:rFonts w:hint="eastAsia" w:ascii="GWZT-EN"/>
      </w:rPr>
    </w:lvl>
  </w:abstractNum>
  <w:abstractNum w:abstractNumId="5">
    <w:nsid w:val="24B5D0F6"/>
    <w:multiLevelType w:val="singleLevel"/>
    <w:tmpl w:val="24B5D0F6"/>
    <w:lvl w:ilvl="0" w:tentative="0">
      <w:start w:val="1"/>
      <w:numFmt w:val="chineseCounting"/>
      <w:suff w:val="nothing"/>
      <w:lvlText w:val="（%1）"/>
      <w:lvlJc w:val="left"/>
      <w:pPr>
        <w:ind w:left="0" w:firstLine="0"/>
      </w:pPr>
      <w:rPr>
        <w:rFonts w:hint="eastAsia" w:ascii="GWZT-EN"/>
      </w:rPr>
    </w:lvl>
  </w:abstractNum>
  <w:abstractNum w:abstractNumId="6">
    <w:nsid w:val="2C6D1273"/>
    <w:multiLevelType w:val="singleLevel"/>
    <w:tmpl w:val="2C6D1273"/>
    <w:lvl w:ilvl="0" w:tentative="0">
      <w:start w:val="1"/>
      <w:numFmt w:val="decimal"/>
      <w:suff w:val="space"/>
      <w:lvlText w:val="%1."/>
      <w:lvlJc w:val="left"/>
      <w:pPr>
        <w:ind w:left="0" w:firstLine="480"/>
      </w:pPr>
      <w:rPr>
        <w:rFonts w:hint="default" w:ascii="GWZT-EN"/>
      </w:rPr>
    </w:lvl>
  </w:abstractNum>
  <w:abstractNum w:abstractNumId="7">
    <w:nsid w:val="371077AA"/>
    <w:multiLevelType w:val="singleLevel"/>
    <w:tmpl w:val="371077AA"/>
    <w:lvl w:ilvl="0" w:tentative="0">
      <w:start w:val="1"/>
      <w:numFmt w:val="decimal"/>
      <w:suff w:val="space"/>
      <w:lvlText w:val="%1."/>
      <w:lvlJc w:val="left"/>
      <w:pPr>
        <w:ind w:left="0" w:firstLine="480"/>
      </w:pPr>
      <w:rPr>
        <w:rFonts w:hint="default" w:ascii="GWZT-EN"/>
      </w:rPr>
    </w:lvl>
  </w:abstractNum>
  <w:abstractNum w:abstractNumId="8">
    <w:nsid w:val="486E2574"/>
    <w:multiLevelType w:val="singleLevel"/>
    <w:tmpl w:val="486E2574"/>
    <w:lvl w:ilvl="0" w:tentative="0">
      <w:start w:val="1"/>
      <w:numFmt w:val="chineseCounting"/>
      <w:suff w:val="nothing"/>
      <w:lvlText w:val="%1、"/>
      <w:lvlJc w:val="left"/>
      <w:pPr>
        <w:ind w:left="0" w:firstLine="0"/>
      </w:pPr>
      <w:rPr>
        <w:rFonts w:hint="eastAsia" w:ascii="GWZT-EN"/>
      </w:rPr>
    </w:lvl>
  </w:abstractNum>
  <w:abstractNum w:abstractNumId="9">
    <w:nsid w:val="4ED0E9FE"/>
    <w:multiLevelType w:val="singleLevel"/>
    <w:tmpl w:val="4ED0E9FE"/>
    <w:lvl w:ilvl="0" w:tentative="0">
      <w:start w:val="1"/>
      <w:numFmt w:val="decimal"/>
      <w:suff w:val="space"/>
      <w:lvlText w:val="%1."/>
      <w:lvlJc w:val="left"/>
      <w:pPr>
        <w:ind w:left="0" w:firstLine="480"/>
      </w:pPr>
      <w:rPr>
        <w:rFonts w:hint="default" w:ascii="GWZT-EN"/>
      </w:rPr>
    </w:lvl>
  </w:abstractNum>
  <w:abstractNum w:abstractNumId="10">
    <w:nsid w:val="6760CDB1"/>
    <w:multiLevelType w:val="singleLevel"/>
    <w:tmpl w:val="6760CDB1"/>
    <w:lvl w:ilvl="0" w:tentative="0">
      <w:start w:val="1"/>
      <w:numFmt w:val="decimal"/>
      <w:suff w:val="space"/>
      <w:lvlText w:val="%1."/>
      <w:lvlJc w:val="left"/>
      <w:pPr>
        <w:ind w:left="0" w:firstLine="480"/>
      </w:pPr>
      <w:rPr>
        <w:rFonts w:hint="default" w:ascii="GWZT-EN"/>
      </w:rPr>
    </w:lvl>
  </w:abstractNum>
  <w:abstractNum w:abstractNumId="11">
    <w:nsid w:val="7A51EC4C"/>
    <w:multiLevelType w:val="singleLevel"/>
    <w:tmpl w:val="7A51EC4C"/>
    <w:lvl w:ilvl="0" w:tentative="0">
      <w:start w:val="1"/>
      <w:numFmt w:val="decimal"/>
      <w:suff w:val="space"/>
      <w:lvlText w:val="%1."/>
      <w:lvlJc w:val="left"/>
      <w:pPr>
        <w:ind w:left="0" w:firstLine="480"/>
      </w:pPr>
      <w:rPr>
        <w:rFonts w:hint="default" w:ascii="GWZT-EN"/>
      </w:rPr>
    </w:lvl>
  </w:abstractNum>
  <w:abstractNum w:abstractNumId="12">
    <w:nsid w:val="7E45B188"/>
    <w:multiLevelType w:val="singleLevel"/>
    <w:tmpl w:val="7E45B188"/>
    <w:lvl w:ilvl="0" w:tentative="0">
      <w:start w:val="1"/>
      <w:numFmt w:val="chineseCounting"/>
      <w:suff w:val="nothing"/>
      <w:lvlText w:val="（%1）"/>
      <w:lvlJc w:val="left"/>
      <w:pPr>
        <w:ind w:left="0" w:firstLine="0"/>
      </w:pPr>
      <w:rPr>
        <w:rFonts w:hint="eastAsia" w:ascii="GWZT-EN"/>
      </w:rPr>
    </w:lvl>
  </w:abstractNum>
  <w:num w:numId="1">
    <w:abstractNumId w:val="8"/>
  </w:num>
  <w:num w:numId="2">
    <w:abstractNumId w:val="4"/>
  </w:num>
  <w:num w:numId="3">
    <w:abstractNumId w:val="12"/>
  </w:num>
  <w:num w:numId="4">
    <w:abstractNumId w:val="3"/>
  </w:num>
  <w:num w:numId="5">
    <w:abstractNumId w:val="6"/>
  </w:num>
  <w:num w:numId="6">
    <w:abstractNumId w:val="0"/>
  </w:num>
  <w:num w:numId="7">
    <w:abstractNumId w:val="5"/>
  </w:num>
  <w:num w:numId="8">
    <w:abstractNumId w:val="2"/>
  </w:num>
  <w:num w:numId="9">
    <w:abstractNumId w:val="11"/>
  </w:num>
  <w:num w:numId="10">
    <w:abstractNumId w:val="7"/>
  </w:num>
  <w:num w:numId="11">
    <w:abstractNumId w:val="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C538B"/>
    <w:rsid w:val="1C2446CC"/>
    <w:rsid w:val="23607491"/>
    <w:rsid w:val="2AC27418"/>
    <w:rsid w:val="2D414517"/>
    <w:rsid w:val="5E8F318B"/>
    <w:rsid w:val="6A6C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GWZT-EN" w:hAnsi="仿宋" w:eastAsia="仿宋" w:cs="Times New Roman"/>
      <w:spacing w:val="-6"/>
      <w:kern w:val="2"/>
      <w:sz w:val="32"/>
      <w:szCs w:val="32"/>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GWZT-E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GWZT-E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GWZT-E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GWZT-EN" w:hAnsi="Times New Roman" w:eastAsia="黑体" w:cs="Times New Roman"/>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GWZT-EN" w:hAnsi="Times New Roman" w:eastAsia="黑体" w:cs="Times New Roman"/>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GWZT-EN" w:hAnsi="Times New Roman" w:eastAsia="黑体" w:cs="Times New Roman"/>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GWZT-EN" w:hAnsi="Times New Roman" w:eastAsia="黑体" w:cs="Times New Roman"/>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GWZT-E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GWZT-EN" w:hAnsi="Times New Roman" w:eastAsia="黑体" w:cs="Times New Roman"/>
      <w:kern w:val="2"/>
      <w:sz w:val="21"/>
      <w:szCs w:val="21"/>
      <w:lang w:bidi="ar-SA"/>
    </w:rPr>
  </w:style>
  <w:style w:type="character" w:default="1" w:styleId="159">
    <w:name w:val="Default Paragraph Font"/>
    <w:semiHidden/>
    <w:qFormat/>
    <w:uiPriority w:val="0"/>
    <w:rPr>
      <w:rFonts w:ascii="GWZT-EN"/>
    </w:rPr>
  </w:style>
  <w:style w:type="table" w:default="1" w:styleId="16">
    <w:name w:val="Normal Table"/>
    <w:semiHidden/>
    <w:uiPriority w:val="0"/>
    <w:pPr>
      <w:spacing w:line="240" w:lineRule="auto"/>
    </w:pPr>
    <w:rPr>
      <w:rFonts w:ascii="GWZT-EN"/>
    </w:rPr>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GWZT-EN" w:hAnsi="Times New Roman" w:eastAsia="宋体" w:cs="Times New Roman"/>
      <w:kern w:val="2"/>
      <w:sz w:val="24"/>
      <w:szCs w:val="24"/>
      <w:lang w:bidi="ar-SA"/>
    </w:rPr>
  </w:style>
  <w:style w:type="paragraph" w:styleId="12">
    <w:name w:val="footer"/>
    <w:basedOn w:val="1"/>
    <w:uiPriority w:val="0"/>
    <w:pPr>
      <w:tabs>
        <w:tab w:val="center" w:pos="4153"/>
        <w:tab w:val="right" w:pos="8306"/>
      </w:tabs>
      <w:snapToGrid w:val="0"/>
      <w:jc w:val="left"/>
    </w:pPr>
    <w:rPr>
      <w:rFonts w:ascii="GWZT-EN"/>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 w:type="paragraph" w:styleId="14">
    <w:name w:val="Subtitle"/>
    <w:qFormat/>
    <w:uiPriority w:val="0"/>
    <w:pPr>
      <w:widowControl w:val="0"/>
      <w:adjustRightInd w:val="0"/>
      <w:spacing w:before="100" w:after="100" w:line="240" w:lineRule="auto"/>
      <w:jc w:val="center"/>
      <w:outlineLvl w:val="9"/>
    </w:pPr>
    <w:rPr>
      <w:rFonts w:ascii="GWZT-EN" w:hAnsi="Times New Roman" w:eastAsia="黑体" w:cs="Times New Roman"/>
      <w:kern w:val="28"/>
      <w:sz w:val="32"/>
      <w:szCs w:val="24"/>
      <w:lang w:bidi="ar-SA"/>
    </w:rPr>
  </w:style>
  <w:style w:type="paragraph" w:styleId="15">
    <w:name w:val="Title"/>
    <w:qFormat/>
    <w:uiPriority w:val="0"/>
    <w:pPr>
      <w:widowControl w:val="0"/>
      <w:adjustRightInd w:val="0"/>
      <w:spacing w:before="100" w:beforeAutospacing="0" w:after="100" w:afterAutospacing="0" w:line="240" w:lineRule="auto"/>
      <w:jc w:val="center"/>
      <w:outlineLvl w:val="9"/>
    </w:pPr>
    <w:rPr>
      <w:rFonts w:ascii="GWZT-EN" w:hAnsi="Times New Roman" w:eastAsia="黑体" w:cs="Times New Roman"/>
      <w:kern w:val="2"/>
      <w:sz w:val="36"/>
      <w:szCs w:val="24"/>
      <w:lang w:bidi="ar-SA"/>
    </w:rPr>
  </w:style>
  <w:style w:type="table" w:styleId="17">
    <w:name w:val="Table Grid"/>
    <w:basedOn w:val="16"/>
    <w:uiPriority w:val="0"/>
    <w:pPr>
      <w:widowControl w:val="0"/>
      <w:spacing w:line="240" w:lineRule="auto"/>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Theme"/>
    <w:basedOn w:val="16"/>
    <w:uiPriority w:val="0"/>
    <w:pPr>
      <w:widowControl w:val="0"/>
      <w:spacing w:line="240" w:lineRule="auto"/>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Colorful 1"/>
    <w:basedOn w:val="16"/>
    <w:uiPriority w:val="0"/>
    <w:pPr>
      <w:widowControl w:val="0"/>
      <w:spacing w:line="240" w:lineRule="auto"/>
      <w:jc w:val="both"/>
    </w:pPr>
    <w:rPr>
      <w:rFonts w:ascii="GWZT-E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0">
    <w:name w:val="Table Colorful 2"/>
    <w:basedOn w:val="16"/>
    <w:uiPriority w:val="0"/>
    <w:pPr>
      <w:widowControl w:val="0"/>
      <w:spacing w:line="240" w:lineRule="auto"/>
      <w:jc w:val="both"/>
    </w:pPr>
    <w:rPr>
      <w:rFonts w:ascii="GWZT-EN"/>
    </w:r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1">
    <w:name w:val="Table Colorful 3"/>
    <w:basedOn w:val="16"/>
    <w:uiPriority w:val="0"/>
    <w:pPr>
      <w:widowControl w:val="0"/>
      <w:spacing w:line="240" w:lineRule="auto"/>
      <w:jc w:val="both"/>
    </w:pPr>
    <w:rPr>
      <w:rFonts w:ascii="GWZT-E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22">
    <w:name w:val="Table Elegant"/>
    <w:basedOn w:val="16"/>
    <w:uiPriority w:val="0"/>
    <w:pPr>
      <w:widowControl w:val="0"/>
      <w:spacing w:line="240" w:lineRule="auto"/>
      <w:jc w:val="both"/>
    </w:pPr>
    <w:rPr>
      <w:rFonts w:ascii="GWZT-E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23">
    <w:name w:val="Table Classic 1"/>
    <w:basedOn w:val="16"/>
    <w:uiPriority w:val="0"/>
    <w:pPr>
      <w:widowControl w:val="0"/>
      <w:spacing w:line="240" w:lineRule="auto"/>
      <w:jc w:val="both"/>
    </w:pPr>
    <w:rPr>
      <w:rFonts w:ascii="GWZT-EN"/>
    </w:r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4">
    <w:name w:val="Table Classic 2"/>
    <w:basedOn w:val="16"/>
    <w:uiPriority w:val="0"/>
    <w:pPr>
      <w:widowControl w:val="0"/>
      <w:spacing w:line="240" w:lineRule="auto"/>
      <w:jc w:val="both"/>
    </w:pPr>
    <w:rPr>
      <w:rFonts w:ascii="GWZT-EN"/>
    </w:r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5">
    <w:name w:val="Table Classic 3"/>
    <w:basedOn w:val="16"/>
    <w:uiPriority w:val="0"/>
    <w:pPr>
      <w:widowControl w:val="0"/>
      <w:spacing w:line="240" w:lineRule="auto"/>
      <w:jc w:val="both"/>
    </w:pPr>
    <w:rPr>
      <w:rFonts w:ascii="GWZT-E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6">
    <w:name w:val="Table Classic 4"/>
    <w:basedOn w:val="16"/>
    <w:uiPriority w:val="0"/>
    <w:pPr>
      <w:widowControl w:val="0"/>
      <w:spacing w:line="240" w:lineRule="auto"/>
      <w:jc w:val="both"/>
    </w:pPr>
    <w:rPr>
      <w:rFonts w:ascii="GWZT-E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27">
    <w:name w:val="Table Simple 1"/>
    <w:basedOn w:val="16"/>
    <w:uiPriority w:val="0"/>
    <w:pPr>
      <w:widowControl w:val="0"/>
      <w:spacing w:line="240" w:lineRule="auto"/>
      <w:jc w:val="both"/>
    </w:pPr>
    <w:rPr>
      <w:rFonts w:ascii="GWZT-EN"/>
    </w:r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28">
    <w:name w:val="Table Simple 2"/>
    <w:basedOn w:val="16"/>
    <w:uiPriority w:val="0"/>
    <w:pPr>
      <w:widowControl w:val="0"/>
      <w:spacing w:line="240" w:lineRule="auto"/>
      <w:jc w:val="both"/>
    </w:pPr>
    <w:rPr>
      <w:rFonts w:ascii="GWZT-EN"/>
    </w:r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29">
    <w:name w:val="Table Simple 3"/>
    <w:basedOn w:val="16"/>
    <w:uiPriority w:val="0"/>
    <w:pPr>
      <w:widowControl w:val="0"/>
      <w:spacing w:line="240" w:lineRule="auto"/>
      <w:jc w:val="both"/>
    </w:pPr>
    <w:rPr>
      <w:rFonts w:ascii="GWZT-E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30">
    <w:name w:val="Table Subtle 1"/>
    <w:basedOn w:val="16"/>
    <w:uiPriority w:val="0"/>
    <w:pPr>
      <w:widowControl w:val="0"/>
      <w:spacing w:line="240" w:lineRule="auto"/>
      <w:jc w:val="both"/>
    </w:pPr>
    <w:rPr>
      <w:rFonts w:ascii="GWZT-EN"/>
    </w:r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1">
    <w:name w:val="Table Subtle 2"/>
    <w:basedOn w:val="16"/>
    <w:uiPriority w:val="0"/>
    <w:pPr>
      <w:widowControl w:val="0"/>
      <w:spacing w:line="240" w:lineRule="auto"/>
      <w:jc w:val="both"/>
    </w:pPr>
    <w:rPr>
      <w:rFonts w:ascii="GWZT-EN"/>
    </w:r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2">
    <w:name w:val="Table 3D effects 1"/>
    <w:basedOn w:val="16"/>
    <w:uiPriority w:val="0"/>
    <w:pPr>
      <w:widowControl w:val="0"/>
      <w:spacing w:line="240" w:lineRule="auto"/>
      <w:jc w:val="both"/>
    </w:pPr>
    <w:rPr>
      <w:rFonts w:ascii="GWZT-EN"/>
    </w:r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33">
    <w:name w:val="Table 3D effects 2"/>
    <w:basedOn w:val="16"/>
    <w:uiPriority w:val="0"/>
    <w:pPr>
      <w:widowControl w:val="0"/>
      <w:spacing w:line="240" w:lineRule="auto"/>
      <w:jc w:val="both"/>
    </w:pPr>
    <w:rPr>
      <w:rFonts w:ascii="GWZT-E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34">
    <w:name w:val="Table 3D effects 3"/>
    <w:basedOn w:val="16"/>
    <w:uiPriority w:val="0"/>
    <w:pPr>
      <w:widowControl w:val="0"/>
      <w:spacing w:line="240" w:lineRule="auto"/>
      <w:jc w:val="both"/>
    </w:pPr>
    <w:rPr>
      <w:rFonts w:ascii="GWZT-EN"/>
    </w:r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35">
    <w:name w:val="Table List 1"/>
    <w:basedOn w:val="16"/>
    <w:uiPriority w:val="0"/>
    <w:pPr>
      <w:widowControl w:val="0"/>
      <w:spacing w:line="240" w:lineRule="auto"/>
      <w:jc w:val="both"/>
    </w:pPr>
    <w:rPr>
      <w:rFonts w:ascii="GWZT-EN"/>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6">
    <w:name w:val="Table List 2"/>
    <w:basedOn w:val="16"/>
    <w:uiPriority w:val="0"/>
    <w:pPr>
      <w:widowControl w:val="0"/>
      <w:spacing w:line="240" w:lineRule="auto"/>
      <w:jc w:val="both"/>
    </w:pPr>
    <w:rPr>
      <w:rFonts w:ascii="GWZT-EN"/>
    </w:rPr>
    <w:tblPr>
      <w:tblStyleRowBandSize w:val="2"/>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7">
    <w:name w:val="Table List 3"/>
    <w:basedOn w:val="16"/>
    <w:uiPriority w:val="0"/>
    <w:pPr>
      <w:widowControl w:val="0"/>
      <w:spacing w:line="240" w:lineRule="auto"/>
      <w:jc w:val="both"/>
    </w:pPr>
    <w:rPr>
      <w:rFonts w:ascii="GWZT-E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38">
    <w:name w:val="Table List 4"/>
    <w:basedOn w:val="16"/>
    <w:uiPriority w:val="0"/>
    <w:pPr>
      <w:widowControl w:val="0"/>
      <w:spacing w:line="240" w:lineRule="auto"/>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39">
    <w:name w:val="Table List 5"/>
    <w:basedOn w:val="16"/>
    <w:uiPriority w:val="0"/>
    <w:pPr>
      <w:widowControl w:val="0"/>
      <w:spacing w:line="240"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40">
    <w:name w:val="Table List 6"/>
    <w:basedOn w:val="16"/>
    <w:uiPriority w:val="0"/>
    <w:pPr>
      <w:widowControl w:val="0"/>
      <w:spacing w:line="240" w:lineRule="auto"/>
      <w:jc w:val="both"/>
    </w:pPr>
    <w:rPr>
      <w:rFonts w:ascii="GWZT-EN"/>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41">
    <w:name w:val="Table List 7"/>
    <w:basedOn w:val="16"/>
    <w:uiPriority w:val="0"/>
    <w:pPr>
      <w:widowControl w:val="0"/>
      <w:spacing w:line="240" w:lineRule="auto"/>
      <w:jc w:val="both"/>
    </w:pPr>
    <w:rPr>
      <w:rFonts w:ascii="GWZT-EN"/>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42">
    <w:name w:val="Table List 8"/>
    <w:basedOn w:val="16"/>
    <w:uiPriority w:val="0"/>
    <w:pPr>
      <w:widowControl w:val="0"/>
      <w:spacing w:line="240" w:lineRule="auto"/>
      <w:jc w:val="both"/>
    </w:pPr>
    <w:rPr>
      <w:rFonts w:ascii="GWZT-EN"/>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43">
    <w:name w:val="Table Contemporary"/>
    <w:basedOn w:val="16"/>
    <w:uiPriority w:val="0"/>
    <w:pPr>
      <w:widowControl w:val="0"/>
      <w:spacing w:line="240" w:lineRule="auto"/>
      <w:jc w:val="both"/>
    </w:pPr>
    <w:rPr>
      <w:rFonts w:ascii="GWZT-EN"/>
    </w:rPr>
    <w:tblPr>
      <w:tblStyleRowBandSize w:val="1"/>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44">
    <w:name w:val="Table Columns 1"/>
    <w:basedOn w:val="16"/>
    <w:uiPriority w:val="0"/>
    <w:pPr>
      <w:widowControl w:val="0"/>
      <w:spacing w:line="240" w:lineRule="auto"/>
      <w:jc w:val="both"/>
    </w:pPr>
    <w:rPr>
      <w:rFonts w:ascii="GWZT-EN"/>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5">
    <w:name w:val="Table Columns 2"/>
    <w:basedOn w:val="16"/>
    <w:uiPriority w:val="0"/>
    <w:pPr>
      <w:widowControl w:val="0"/>
      <w:spacing w:line="240" w:lineRule="auto"/>
      <w:jc w:val="both"/>
    </w:pPr>
    <w:rPr>
      <w:rFonts w:ascii="GWZT-E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6">
    <w:name w:val="Table Columns 3"/>
    <w:basedOn w:val="16"/>
    <w:uiPriority w:val="0"/>
    <w:pPr>
      <w:widowControl w:val="0"/>
      <w:spacing w:line="240" w:lineRule="auto"/>
      <w:jc w:val="both"/>
    </w:pPr>
    <w:rPr>
      <w:rFonts w:ascii="GWZT-EN"/>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16"/>
    <w:uiPriority w:val="0"/>
    <w:pPr>
      <w:widowControl w:val="0"/>
      <w:spacing w:line="240" w:lineRule="auto"/>
      <w:jc w:val="both"/>
    </w:pPr>
    <w:rPr>
      <w:rFonts w:ascii="GWZT-E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48">
    <w:name w:val="Table Columns 5"/>
    <w:basedOn w:val="16"/>
    <w:uiPriority w:val="0"/>
    <w:pPr>
      <w:widowControl w:val="0"/>
      <w:spacing w:line="240" w:lineRule="auto"/>
      <w:jc w:val="both"/>
    </w:pPr>
    <w:rPr>
      <w:rFonts w:ascii="GWZT-EN"/>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49">
    <w:name w:val="Table Grid 1"/>
    <w:basedOn w:val="16"/>
    <w:uiPriority w:val="0"/>
    <w:pPr>
      <w:widowControl w:val="0"/>
      <w:spacing w:line="240"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0">
    <w:name w:val="Table Grid 2"/>
    <w:basedOn w:val="16"/>
    <w:uiPriority w:val="0"/>
    <w:pPr>
      <w:widowControl w:val="0"/>
      <w:spacing w:line="240" w:lineRule="auto"/>
      <w:jc w:val="both"/>
    </w:pPr>
    <w:rPr>
      <w:rFonts w:ascii="GWZT-E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51">
    <w:name w:val="Table Grid 3"/>
    <w:basedOn w:val="16"/>
    <w:uiPriority w:val="0"/>
    <w:pPr>
      <w:widowControl w:val="0"/>
      <w:spacing w:line="240" w:lineRule="auto"/>
      <w:jc w:val="both"/>
    </w:pPr>
    <w:rPr>
      <w:rFonts w:ascii="GWZT-E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52">
    <w:name w:val="Table Grid 4"/>
    <w:basedOn w:val="16"/>
    <w:uiPriority w:val="0"/>
    <w:pPr>
      <w:widowControl w:val="0"/>
      <w:spacing w:line="240" w:lineRule="auto"/>
      <w:jc w:val="both"/>
    </w:pPr>
    <w:rPr>
      <w:rFonts w:ascii="GWZT-E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53">
    <w:name w:val="Table Grid 5"/>
    <w:basedOn w:val="16"/>
    <w:uiPriority w:val="0"/>
    <w:pPr>
      <w:widowControl w:val="0"/>
      <w:spacing w:line="240" w:lineRule="auto"/>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54">
    <w:name w:val="Table Grid 6"/>
    <w:basedOn w:val="16"/>
    <w:uiPriority w:val="0"/>
    <w:pPr>
      <w:widowControl w:val="0"/>
      <w:spacing w:line="240" w:lineRule="auto"/>
      <w:jc w:val="both"/>
    </w:pPr>
    <w:rPr>
      <w:rFonts w:ascii="GWZT-E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55">
    <w:name w:val="Table Grid 7"/>
    <w:basedOn w:val="16"/>
    <w:uiPriority w:val="0"/>
    <w:pPr>
      <w:widowControl w:val="0"/>
      <w:spacing w:line="240" w:lineRule="auto"/>
      <w:jc w:val="both"/>
    </w:pPr>
    <w:rPr>
      <w:rFonts w:ascii="GWZT-E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56">
    <w:name w:val="Table Grid 8"/>
    <w:basedOn w:val="16"/>
    <w:uiPriority w:val="0"/>
    <w:pPr>
      <w:widowControl w:val="0"/>
      <w:spacing w:line="240" w:lineRule="auto"/>
      <w:jc w:val="both"/>
    </w:pPr>
    <w:rPr>
      <w:rFonts w:ascii="GWZT-E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57">
    <w:name w:val="Table Web 1"/>
    <w:basedOn w:val="16"/>
    <w:uiPriority w:val="0"/>
    <w:pPr>
      <w:widowControl w:val="0"/>
      <w:spacing w:line="240" w:lineRule="auto"/>
      <w:jc w:val="both"/>
    </w:pPr>
    <w:rPr>
      <w:rFonts w:ascii="GWZT-E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58">
    <w:name w:val="Table Web 2"/>
    <w:basedOn w:val="16"/>
    <w:uiPriority w:val="0"/>
    <w:pPr>
      <w:widowControl w:val="0"/>
      <w:spacing w:line="240" w:lineRule="auto"/>
      <w:jc w:val="both"/>
    </w:pPr>
    <w:rPr>
      <w:rFonts w:ascii="GWZT-E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59">
    <w:name w:val="Table Web 3"/>
    <w:basedOn w:val="16"/>
    <w:uiPriority w:val="0"/>
    <w:pPr>
      <w:widowControl w:val="0"/>
      <w:spacing w:line="240" w:lineRule="auto"/>
      <w:jc w:val="both"/>
    </w:pPr>
    <w:rPr>
      <w:rFonts w:ascii="GWZT-E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60">
    <w:name w:val="Table Professional"/>
    <w:basedOn w:val="16"/>
    <w:uiPriority w:val="0"/>
    <w:pPr>
      <w:widowControl w:val="0"/>
      <w:spacing w:line="240"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61">
    <w:name w:val="Light Shading"/>
    <w:basedOn w:val="16"/>
    <w:uiPriority w:val="60"/>
    <w:pPr>
      <w:spacing w:line="240" w:lineRule="auto"/>
    </w:pPr>
    <w:rPr>
      <w:rFonts w:ascii="GWZT-EN"/>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62">
    <w:name w:val="Light Shading Accent 1"/>
    <w:basedOn w:val="16"/>
    <w:uiPriority w:val="60"/>
    <w:pPr>
      <w:spacing w:line="240" w:lineRule="auto"/>
    </w:pPr>
    <w:rPr>
      <w:rFonts w:ascii="GWZT-EN"/>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63">
    <w:name w:val="Light Shading Accent 2"/>
    <w:basedOn w:val="16"/>
    <w:uiPriority w:val="60"/>
    <w:pPr>
      <w:spacing w:line="240" w:lineRule="auto"/>
    </w:pPr>
    <w:rPr>
      <w:rFonts w:ascii="GWZT-EN"/>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64">
    <w:name w:val="Light Shading Accent 3"/>
    <w:basedOn w:val="16"/>
    <w:uiPriority w:val="60"/>
    <w:pPr>
      <w:spacing w:line="240" w:lineRule="auto"/>
    </w:pPr>
    <w:rPr>
      <w:rFonts w:ascii="GWZT-EN"/>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65">
    <w:name w:val="Light Shading Accent 4"/>
    <w:basedOn w:val="16"/>
    <w:uiPriority w:val="60"/>
    <w:pPr>
      <w:spacing w:line="240" w:lineRule="auto"/>
    </w:pPr>
    <w:rPr>
      <w:rFonts w:ascii="GWZT-EN"/>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66">
    <w:name w:val="Light Shading Accent 5"/>
    <w:basedOn w:val="16"/>
    <w:uiPriority w:val="60"/>
    <w:pPr>
      <w:spacing w:line="240" w:lineRule="auto"/>
    </w:pPr>
    <w:rPr>
      <w:rFonts w:ascii="GWZT-EN"/>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67">
    <w:name w:val="Light Shading Accent 6"/>
    <w:basedOn w:val="16"/>
    <w:uiPriority w:val="60"/>
    <w:pPr>
      <w:spacing w:line="240" w:lineRule="auto"/>
    </w:pPr>
    <w:rPr>
      <w:rFonts w:ascii="GWZT-EN"/>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68">
    <w:name w:val="Light List"/>
    <w:basedOn w:val="16"/>
    <w:uiPriority w:val="61"/>
    <w:pPr>
      <w:spacing w:line="240" w:lineRule="auto"/>
    </w:pPr>
    <w:rPr>
      <w:rFonts w:ascii="GWZT-EN"/>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69">
    <w:name w:val="Light List Accent 1"/>
    <w:basedOn w:val="16"/>
    <w:uiPriority w:val="61"/>
    <w:pPr>
      <w:spacing w:line="240" w:lineRule="auto"/>
    </w:pPr>
    <w:rPr>
      <w:rFonts w:ascii="GWZT-EN"/>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70">
    <w:name w:val="Light List Accent 2"/>
    <w:basedOn w:val="16"/>
    <w:uiPriority w:val="61"/>
    <w:pPr>
      <w:spacing w:line="240" w:lineRule="auto"/>
    </w:pPr>
    <w:rPr>
      <w:rFonts w:ascii="GWZT-EN"/>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71">
    <w:name w:val="Light List Accent 3"/>
    <w:basedOn w:val="16"/>
    <w:uiPriority w:val="61"/>
    <w:pPr>
      <w:spacing w:line="240" w:lineRule="auto"/>
    </w:pPr>
    <w:rPr>
      <w:rFonts w:ascii="GWZT-EN"/>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72">
    <w:name w:val="Light List Accent 4"/>
    <w:basedOn w:val="16"/>
    <w:uiPriority w:val="61"/>
    <w:pPr>
      <w:spacing w:line="240" w:lineRule="auto"/>
    </w:pPr>
    <w:rPr>
      <w:rFonts w:ascii="GWZT-EN"/>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73">
    <w:name w:val="Light List Accent 5"/>
    <w:basedOn w:val="16"/>
    <w:uiPriority w:val="61"/>
    <w:pPr>
      <w:spacing w:line="240" w:lineRule="auto"/>
    </w:pPr>
    <w:rPr>
      <w:rFonts w:ascii="GWZT-EN"/>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74">
    <w:name w:val="Light List Accent 6"/>
    <w:basedOn w:val="16"/>
    <w:uiPriority w:val="61"/>
    <w:pPr>
      <w:spacing w:line="240" w:lineRule="auto"/>
    </w:pPr>
    <w:rPr>
      <w:rFonts w:ascii="GWZT-EN"/>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75">
    <w:name w:val="Light Grid"/>
    <w:basedOn w:val="16"/>
    <w:uiPriority w:val="62"/>
    <w:pPr>
      <w:spacing w:line="240" w:lineRule="auto"/>
    </w:pPr>
    <w:rPr>
      <w:rFonts w:ascii="GWZT-EN"/>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76">
    <w:name w:val="Light Grid Accent 1"/>
    <w:basedOn w:val="16"/>
    <w:uiPriority w:val="62"/>
    <w:pPr>
      <w:spacing w:line="240" w:lineRule="auto"/>
    </w:pPr>
    <w:rPr>
      <w:rFonts w:ascii="GWZT-EN"/>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77">
    <w:name w:val="Light Grid Accent 2"/>
    <w:basedOn w:val="16"/>
    <w:uiPriority w:val="62"/>
    <w:pPr>
      <w:spacing w:line="240" w:lineRule="auto"/>
    </w:pPr>
    <w:rPr>
      <w:rFonts w:ascii="GWZT-EN"/>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78">
    <w:name w:val="Light Grid Accent 3"/>
    <w:basedOn w:val="16"/>
    <w:uiPriority w:val="62"/>
    <w:pPr>
      <w:spacing w:line="240" w:lineRule="auto"/>
    </w:pPr>
    <w:rPr>
      <w:rFonts w:ascii="GWZT-EN"/>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79">
    <w:name w:val="Light Grid Accent 4"/>
    <w:basedOn w:val="16"/>
    <w:uiPriority w:val="62"/>
    <w:pPr>
      <w:spacing w:line="240" w:lineRule="auto"/>
    </w:pPr>
    <w:rPr>
      <w:rFonts w:ascii="GWZT-EN"/>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80">
    <w:name w:val="Light Grid Accent 5"/>
    <w:basedOn w:val="16"/>
    <w:uiPriority w:val="62"/>
    <w:pPr>
      <w:spacing w:line="240" w:lineRule="auto"/>
    </w:pPr>
    <w:rPr>
      <w:rFonts w:ascii="GWZT-EN"/>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81">
    <w:name w:val="Light Grid Accent 6"/>
    <w:basedOn w:val="16"/>
    <w:uiPriority w:val="62"/>
    <w:pPr>
      <w:spacing w:line="240" w:lineRule="auto"/>
    </w:pPr>
    <w:rPr>
      <w:rFonts w:ascii="GWZT-EN"/>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82">
    <w:name w:val="Medium Shading 1"/>
    <w:basedOn w:val="16"/>
    <w:uiPriority w:val="63"/>
    <w:pPr>
      <w:spacing w:line="240" w:lineRule="auto"/>
    </w:pPr>
    <w:rPr>
      <w:rFonts w:ascii="GWZT-EN"/>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83">
    <w:name w:val="Medium Shading 1 Accent 1"/>
    <w:basedOn w:val="16"/>
    <w:uiPriority w:val="63"/>
    <w:pPr>
      <w:spacing w:line="240" w:lineRule="auto"/>
    </w:pPr>
    <w:rPr>
      <w:rFonts w:ascii="GWZT-EN"/>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84">
    <w:name w:val="Medium Shading 1 Accent 2"/>
    <w:basedOn w:val="16"/>
    <w:uiPriority w:val="63"/>
    <w:pPr>
      <w:spacing w:line="240" w:lineRule="auto"/>
    </w:pPr>
    <w:rPr>
      <w:rFonts w:ascii="GWZT-EN"/>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85">
    <w:name w:val="Medium Shading 1 Accent 3"/>
    <w:basedOn w:val="16"/>
    <w:uiPriority w:val="63"/>
    <w:pPr>
      <w:spacing w:line="240" w:lineRule="auto"/>
    </w:pPr>
    <w:rPr>
      <w:rFonts w:ascii="GWZT-EN"/>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86">
    <w:name w:val="Medium Shading 1 Accent 4"/>
    <w:basedOn w:val="16"/>
    <w:uiPriority w:val="63"/>
    <w:pPr>
      <w:spacing w:line="240" w:lineRule="auto"/>
    </w:pPr>
    <w:rPr>
      <w:rFonts w:ascii="GWZT-EN"/>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87">
    <w:name w:val="Medium Shading 1 Accent 5"/>
    <w:basedOn w:val="16"/>
    <w:uiPriority w:val="63"/>
    <w:pPr>
      <w:spacing w:line="240" w:lineRule="auto"/>
    </w:pPr>
    <w:rPr>
      <w:rFonts w:ascii="GWZT-EN"/>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88">
    <w:name w:val="Medium Shading 1 Accent 6"/>
    <w:basedOn w:val="16"/>
    <w:uiPriority w:val="63"/>
    <w:pPr>
      <w:spacing w:line="240" w:lineRule="auto"/>
    </w:pPr>
    <w:rPr>
      <w:rFonts w:ascii="GWZT-EN"/>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89">
    <w:name w:val="Medium Shading 2"/>
    <w:basedOn w:val="16"/>
    <w:uiPriority w:val="64"/>
    <w:pPr>
      <w:spacing w:line="240" w:lineRule="auto"/>
    </w:pPr>
    <w:rPr>
      <w:rFonts w:ascii="GWZT-E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0">
    <w:name w:val="Medium Shading 2 Accent 1"/>
    <w:basedOn w:val="16"/>
    <w:uiPriority w:val="64"/>
    <w:pPr>
      <w:spacing w:line="240" w:lineRule="auto"/>
    </w:pPr>
    <w:rPr>
      <w:rFonts w:ascii="GWZT-E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1">
    <w:name w:val="Medium Shading 2 Accent 2"/>
    <w:basedOn w:val="16"/>
    <w:uiPriority w:val="64"/>
    <w:pPr>
      <w:spacing w:line="240" w:lineRule="auto"/>
    </w:pPr>
    <w:rPr>
      <w:rFonts w:ascii="GWZT-E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2">
    <w:name w:val="Medium Shading 2 Accent 3"/>
    <w:basedOn w:val="16"/>
    <w:uiPriority w:val="64"/>
    <w:pPr>
      <w:spacing w:line="240" w:lineRule="auto"/>
    </w:pPr>
    <w:rPr>
      <w:rFonts w:ascii="GWZT-E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3">
    <w:name w:val="Medium Shading 2 Accent 4"/>
    <w:basedOn w:val="16"/>
    <w:uiPriority w:val="64"/>
    <w:pPr>
      <w:spacing w:line="240" w:lineRule="auto"/>
    </w:pPr>
    <w:rPr>
      <w:rFonts w:ascii="GWZT-E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4">
    <w:name w:val="Medium Shading 2 Accent 5"/>
    <w:basedOn w:val="16"/>
    <w:uiPriority w:val="64"/>
    <w:pPr>
      <w:spacing w:line="240" w:lineRule="auto"/>
    </w:pPr>
    <w:rPr>
      <w:rFonts w:ascii="GWZT-E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5">
    <w:name w:val="Medium Shading 2 Accent 6"/>
    <w:basedOn w:val="16"/>
    <w:uiPriority w:val="64"/>
    <w:pPr>
      <w:spacing w:line="240" w:lineRule="auto"/>
    </w:pPr>
    <w:rPr>
      <w:rFonts w:ascii="GWZT-E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6">
    <w:name w:val="Medium List 1"/>
    <w:basedOn w:val="16"/>
    <w:uiPriority w:val="65"/>
    <w:pPr>
      <w:spacing w:line="240" w:lineRule="auto"/>
    </w:pPr>
    <w:rPr>
      <w:rFonts w:ascii="GWZT-EN"/>
      <w:color w:val="000000"/>
    </w:rPr>
    <w:tblPr>
      <w:tblStyleRowBandSize w:val="1"/>
      <w:tblStyleColBandSize w:val="1"/>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97">
    <w:name w:val="Medium List 1 Accent 1"/>
    <w:basedOn w:val="16"/>
    <w:uiPriority w:val="65"/>
    <w:pPr>
      <w:spacing w:line="240" w:lineRule="auto"/>
    </w:pPr>
    <w:rPr>
      <w:rFonts w:ascii="GWZT-EN"/>
      <w:color w:val="000000"/>
    </w:rPr>
    <w:tblPr>
      <w:tblStyleRowBandSize w:val="1"/>
      <w:tblStyleColBandSize w:val="1"/>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98">
    <w:name w:val="Medium List 1 Accent 2"/>
    <w:basedOn w:val="16"/>
    <w:uiPriority w:val="65"/>
    <w:pPr>
      <w:spacing w:line="240" w:lineRule="auto"/>
    </w:pPr>
    <w:rPr>
      <w:rFonts w:ascii="GWZT-EN"/>
      <w:color w:val="000000"/>
    </w:rPr>
    <w:tblPr>
      <w:tblStyleRowBandSize w:val="1"/>
      <w:tblStyleColBandSize w:val="1"/>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99">
    <w:name w:val="Medium List 1 Accent 3"/>
    <w:basedOn w:val="16"/>
    <w:uiPriority w:val="65"/>
    <w:pPr>
      <w:spacing w:line="240" w:lineRule="auto"/>
    </w:pPr>
    <w:rPr>
      <w:rFonts w:ascii="GWZT-EN"/>
      <w:color w:val="000000"/>
    </w:rPr>
    <w:tblPr>
      <w:tblStyleRowBandSize w:val="1"/>
      <w:tblStyleColBandSize w:val="1"/>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00">
    <w:name w:val="Medium List 1 Accent 4"/>
    <w:basedOn w:val="16"/>
    <w:uiPriority w:val="65"/>
    <w:pPr>
      <w:spacing w:line="240" w:lineRule="auto"/>
    </w:pPr>
    <w:rPr>
      <w:rFonts w:ascii="GWZT-EN"/>
      <w:color w:val="000000"/>
    </w:rPr>
    <w:tblPr>
      <w:tblStyleRowBandSize w:val="1"/>
      <w:tblStyleColBandSize w:val="1"/>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01">
    <w:name w:val="Medium List 1 Accent 5"/>
    <w:basedOn w:val="16"/>
    <w:uiPriority w:val="65"/>
    <w:pPr>
      <w:spacing w:line="240" w:lineRule="auto"/>
    </w:pPr>
    <w:rPr>
      <w:rFonts w:ascii="GWZT-EN"/>
      <w:color w:val="000000"/>
    </w:rPr>
    <w:tblPr>
      <w:tblStyleRowBandSize w:val="1"/>
      <w:tblStyleColBandSize w:val="1"/>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02">
    <w:name w:val="Medium List 1 Accent 6"/>
    <w:basedOn w:val="16"/>
    <w:uiPriority w:val="65"/>
    <w:pPr>
      <w:spacing w:line="240" w:lineRule="auto"/>
    </w:pPr>
    <w:rPr>
      <w:rFonts w:ascii="GWZT-EN"/>
      <w:color w:val="000000"/>
    </w:rPr>
    <w:tblPr>
      <w:tblStyleRowBandSize w:val="1"/>
      <w:tblStyleColBandSize w:val="1"/>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03">
    <w:name w:val="Medium List 2"/>
    <w:basedOn w:val="16"/>
    <w:uiPriority w:val="66"/>
    <w:pPr>
      <w:spacing w:line="240" w:lineRule="auto"/>
    </w:pPr>
    <w:rPr>
      <w:rFonts w:ascii="GWZT-EN" w:hAnsi="Symbol" w:eastAsia="黑体" w:cs="Times New Roman"/>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04">
    <w:name w:val="Medium List 2 Accent 1"/>
    <w:basedOn w:val="16"/>
    <w:uiPriority w:val="66"/>
    <w:pPr>
      <w:spacing w:line="240" w:lineRule="auto"/>
    </w:pPr>
    <w:rPr>
      <w:rFonts w:ascii="GWZT-EN" w:hAnsi="Symbol" w:eastAsia="黑体" w:cs="Times New Roman"/>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05">
    <w:name w:val="Medium List 2 Accent 2"/>
    <w:basedOn w:val="16"/>
    <w:uiPriority w:val="66"/>
    <w:pPr>
      <w:spacing w:line="240" w:lineRule="auto"/>
    </w:pPr>
    <w:rPr>
      <w:rFonts w:ascii="GWZT-EN" w:hAnsi="Symbol" w:eastAsia="黑体" w:cs="Times New Roman"/>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06">
    <w:name w:val="Medium List 2 Accent 3"/>
    <w:basedOn w:val="16"/>
    <w:uiPriority w:val="66"/>
    <w:pPr>
      <w:spacing w:line="240" w:lineRule="auto"/>
    </w:pPr>
    <w:rPr>
      <w:rFonts w:ascii="GWZT-EN" w:hAnsi="Symbol" w:eastAsia="黑体" w:cs="Times New Roman"/>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07">
    <w:name w:val="Medium List 2 Accent 4"/>
    <w:basedOn w:val="16"/>
    <w:uiPriority w:val="66"/>
    <w:pPr>
      <w:spacing w:line="240" w:lineRule="auto"/>
    </w:pPr>
    <w:rPr>
      <w:rFonts w:ascii="GWZT-EN" w:hAnsi="Symbol" w:eastAsia="黑体" w:cs="Times New Roman"/>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08">
    <w:name w:val="Medium List 2 Accent 5"/>
    <w:basedOn w:val="16"/>
    <w:uiPriority w:val="66"/>
    <w:pPr>
      <w:spacing w:line="240" w:lineRule="auto"/>
    </w:pPr>
    <w:rPr>
      <w:rFonts w:ascii="GWZT-EN" w:hAnsi="Symbol" w:eastAsia="黑体" w:cs="Times New Roman"/>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09">
    <w:name w:val="Medium List 2 Accent 6"/>
    <w:basedOn w:val="16"/>
    <w:uiPriority w:val="66"/>
    <w:pPr>
      <w:spacing w:line="240" w:lineRule="auto"/>
    </w:pPr>
    <w:rPr>
      <w:rFonts w:ascii="GWZT-EN" w:hAnsi="Symbol" w:eastAsia="黑体" w:cs="Times New Roman"/>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10">
    <w:name w:val="Medium Grid 1"/>
    <w:basedOn w:val="16"/>
    <w:uiPriority w:val="67"/>
    <w:pPr>
      <w:spacing w:line="240" w:lineRule="auto"/>
    </w:pPr>
    <w:rPr>
      <w:rFonts w:ascii="GWZT-EN"/>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16"/>
    <w:uiPriority w:val="67"/>
    <w:pPr>
      <w:spacing w:line="240" w:lineRule="auto"/>
    </w:pPr>
    <w:rPr>
      <w:rFonts w:ascii="GWZT-EN"/>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12">
    <w:name w:val="Medium Grid 1 Accent 2"/>
    <w:basedOn w:val="16"/>
    <w:uiPriority w:val="67"/>
    <w:pPr>
      <w:spacing w:line="240" w:lineRule="auto"/>
    </w:pPr>
    <w:rPr>
      <w:rFonts w:ascii="GWZT-EN"/>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13">
    <w:name w:val="Medium Grid 1 Accent 3"/>
    <w:basedOn w:val="16"/>
    <w:uiPriority w:val="67"/>
    <w:pPr>
      <w:spacing w:line="240" w:lineRule="auto"/>
    </w:pPr>
    <w:rPr>
      <w:rFonts w:ascii="GWZT-EN"/>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14">
    <w:name w:val="Medium Grid 1 Accent 4"/>
    <w:basedOn w:val="16"/>
    <w:uiPriority w:val="67"/>
    <w:pPr>
      <w:spacing w:line="240" w:lineRule="auto"/>
    </w:pPr>
    <w:rPr>
      <w:rFonts w:ascii="GWZT-EN"/>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15">
    <w:name w:val="Medium Grid 1 Accent 5"/>
    <w:basedOn w:val="16"/>
    <w:uiPriority w:val="67"/>
    <w:pPr>
      <w:spacing w:line="240" w:lineRule="auto"/>
    </w:pPr>
    <w:rPr>
      <w:rFonts w:ascii="GWZT-EN"/>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16">
    <w:name w:val="Medium Grid 1 Accent 6"/>
    <w:basedOn w:val="16"/>
    <w:uiPriority w:val="67"/>
    <w:pPr>
      <w:spacing w:line="240" w:lineRule="auto"/>
    </w:pPr>
    <w:rPr>
      <w:rFonts w:ascii="GWZT-EN"/>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17">
    <w:name w:val="Medium Grid 2"/>
    <w:basedOn w:val="16"/>
    <w:uiPriority w:val="68"/>
    <w:pPr>
      <w:spacing w:line="240" w:lineRule="auto"/>
    </w:pPr>
    <w:rPr>
      <w:rFonts w:ascii="GWZT-EN" w:hAnsi="Symbol" w:eastAsia="黑体" w:cs="Times New Roman"/>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18">
    <w:name w:val="Medium Grid 2 Accent 1"/>
    <w:basedOn w:val="16"/>
    <w:uiPriority w:val="68"/>
    <w:pPr>
      <w:spacing w:line="240" w:lineRule="auto"/>
    </w:pPr>
    <w:rPr>
      <w:rFonts w:ascii="GWZT-EN" w:hAnsi="Symbol" w:eastAsia="黑体" w:cs="Times New Roman"/>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19">
    <w:name w:val="Medium Grid 2 Accent 2"/>
    <w:basedOn w:val="16"/>
    <w:uiPriority w:val="68"/>
    <w:pPr>
      <w:spacing w:line="240" w:lineRule="auto"/>
    </w:pPr>
    <w:rPr>
      <w:rFonts w:ascii="GWZT-EN" w:hAnsi="Symbol" w:eastAsia="黑体" w:cs="Times New Roman"/>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20">
    <w:name w:val="Medium Grid 2 Accent 3"/>
    <w:basedOn w:val="16"/>
    <w:uiPriority w:val="68"/>
    <w:pPr>
      <w:spacing w:line="240" w:lineRule="auto"/>
    </w:pPr>
    <w:rPr>
      <w:rFonts w:ascii="GWZT-EN" w:hAnsi="Symbol" w:eastAsia="黑体" w:cs="Times New Roman"/>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21">
    <w:name w:val="Medium Grid 2 Accent 4"/>
    <w:basedOn w:val="16"/>
    <w:uiPriority w:val="68"/>
    <w:pPr>
      <w:spacing w:line="240" w:lineRule="auto"/>
    </w:pPr>
    <w:rPr>
      <w:rFonts w:ascii="GWZT-EN" w:hAnsi="Symbol" w:eastAsia="黑体" w:cs="Times New Roman"/>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22">
    <w:name w:val="Medium Grid 2 Accent 5"/>
    <w:basedOn w:val="16"/>
    <w:uiPriority w:val="68"/>
    <w:pPr>
      <w:spacing w:line="240" w:lineRule="auto"/>
    </w:pPr>
    <w:rPr>
      <w:rFonts w:ascii="GWZT-EN" w:hAnsi="Symbol" w:eastAsia="黑体" w:cs="Times New Roman"/>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23">
    <w:name w:val="Medium Grid 2 Accent 6"/>
    <w:basedOn w:val="16"/>
    <w:uiPriority w:val="68"/>
    <w:pPr>
      <w:spacing w:line="240" w:lineRule="auto"/>
    </w:pPr>
    <w:rPr>
      <w:rFonts w:ascii="GWZT-EN" w:hAnsi="Symbol" w:eastAsia="黑体" w:cs="Times New Roman"/>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24">
    <w:name w:val="Medium Grid 3"/>
    <w:basedOn w:val="16"/>
    <w:uiPriority w:val="69"/>
    <w:pPr>
      <w:spacing w:line="240" w:lineRule="auto"/>
    </w:pPr>
    <w:rPr>
      <w:rFonts w:ascii="GWZT-E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25">
    <w:name w:val="Medium Grid 3 Accent 1"/>
    <w:basedOn w:val="16"/>
    <w:uiPriority w:val="69"/>
    <w:pPr>
      <w:spacing w:line="240" w:lineRule="auto"/>
    </w:pPr>
    <w:rPr>
      <w:rFonts w:ascii="GWZT-E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26">
    <w:name w:val="Medium Grid 3 Accent 2"/>
    <w:basedOn w:val="16"/>
    <w:uiPriority w:val="69"/>
    <w:pPr>
      <w:spacing w:line="240" w:lineRule="auto"/>
    </w:pPr>
    <w:rPr>
      <w:rFonts w:ascii="GWZT-E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27">
    <w:name w:val="Medium Grid 3 Accent 3"/>
    <w:basedOn w:val="16"/>
    <w:uiPriority w:val="69"/>
    <w:pPr>
      <w:spacing w:line="240" w:lineRule="auto"/>
    </w:pPr>
    <w:rPr>
      <w:rFonts w:ascii="GWZT-E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28">
    <w:name w:val="Medium Grid 3 Accent 4"/>
    <w:basedOn w:val="16"/>
    <w:uiPriority w:val="69"/>
    <w:pPr>
      <w:spacing w:line="240" w:lineRule="auto"/>
    </w:pPr>
    <w:rPr>
      <w:rFonts w:ascii="GWZT-E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29">
    <w:name w:val="Medium Grid 3 Accent 5"/>
    <w:basedOn w:val="16"/>
    <w:uiPriority w:val="69"/>
    <w:pPr>
      <w:spacing w:line="240" w:lineRule="auto"/>
    </w:pPr>
    <w:rPr>
      <w:rFonts w:ascii="GWZT-E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30">
    <w:name w:val="Medium Grid 3 Accent 6"/>
    <w:basedOn w:val="16"/>
    <w:uiPriority w:val="69"/>
    <w:pPr>
      <w:spacing w:line="240" w:lineRule="auto"/>
    </w:pPr>
    <w:rPr>
      <w:rFonts w:ascii="GWZT-E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31">
    <w:name w:val="Dark List"/>
    <w:basedOn w:val="16"/>
    <w:uiPriority w:val="70"/>
    <w:pPr>
      <w:spacing w:line="240" w:lineRule="auto"/>
    </w:pPr>
    <w:rPr>
      <w:rFonts w:ascii="GWZT-EN"/>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32">
    <w:name w:val="Dark List Accent 1"/>
    <w:basedOn w:val="16"/>
    <w:uiPriority w:val="70"/>
    <w:pPr>
      <w:spacing w:line="240" w:lineRule="auto"/>
    </w:pPr>
    <w:rPr>
      <w:rFonts w:ascii="GWZT-EN"/>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33">
    <w:name w:val="Dark List Accent 2"/>
    <w:basedOn w:val="16"/>
    <w:uiPriority w:val="70"/>
    <w:pPr>
      <w:spacing w:line="240" w:lineRule="auto"/>
    </w:pPr>
    <w:rPr>
      <w:rFonts w:ascii="GWZT-EN"/>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34">
    <w:name w:val="Dark List Accent 3"/>
    <w:basedOn w:val="16"/>
    <w:uiPriority w:val="70"/>
    <w:pPr>
      <w:spacing w:line="240" w:lineRule="auto"/>
    </w:pPr>
    <w:rPr>
      <w:rFonts w:ascii="GWZT-EN"/>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35">
    <w:name w:val="Dark List Accent 4"/>
    <w:basedOn w:val="16"/>
    <w:uiPriority w:val="70"/>
    <w:pPr>
      <w:spacing w:line="240" w:lineRule="auto"/>
    </w:pPr>
    <w:rPr>
      <w:rFonts w:ascii="GWZT-EN"/>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36">
    <w:name w:val="Dark List Accent 5"/>
    <w:basedOn w:val="16"/>
    <w:uiPriority w:val="70"/>
    <w:pPr>
      <w:spacing w:line="240" w:lineRule="auto"/>
    </w:pPr>
    <w:rPr>
      <w:rFonts w:ascii="GWZT-EN"/>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37">
    <w:name w:val="Dark List Accent 6"/>
    <w:basedOn w:val="16"/>
    <w:uiPriority w:val="70"/>
    <w:pPr>
      <w:spacing w:line="240" w:lineRule="auto"/>
    </w:pPr>
    <w:rPr>
      <w:rFonts w:ascii="GWZT-EN"/>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38">
    <w:name w:val="Colorful Shading"/>
    <w:basedOn w:val="16"/>
    <w:uiPriority w:val="71"/>
    <w:pPr>
      <w:spacing w:line="240" w:lineRule="auto"/>
    </w:pPr>
    <w:rPr>
      <w:rFonts w:ascii="GWZT-EN"/>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9">
    <w:name w:val="Colorful Shading Accent 1"/>
    <w:basedOn w:val="16"/>
    <w:uiPriority w:val="71"/>
    <w:pPr>
      <w:spacing w:line="240" w:lineRule="auto"/>
    </w:pPr>
    <w:rPr>
      <w:rFonts w:ascii="GWZT-EN"/>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40">
    <w:name w:val="Colorful Shading Accent 2"/>
    <w:basedOn w:val="16"/>
    <w:uiPriority w:val="71"/>
    <w:pPr>
      <w:spacing w:line="240" w:lineRule="auto"/>
    </w:pPr>
    <w:rPr>
      <w:rFonts w:ascii="GWZT-EN"/>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41">
    <w:name w:val="Colorful Shading Accent 3"/>
    <w:basedOn w:val="16"/>
    <w:uiPriority w:val="71"/>
    <w:pPr>
      <w:spacing w:line="240" w:lineRule="auto"/>
    </w:pPr>
    <w:rPr>
      <w:rFonts w:ascii="GWZT-EN"/>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42">
    <w:name w:val="Colorful Shading Accent 4"/>
    <w:basedOn w:val="16"/>
    <w:uiPriority w:val="71"/>
    <w:pPr>
      <w:spacing w:line="240" w:lineRule="auto"/>
    </w:pPr>
    <w:rPr>
      <w:rFonts w:ascii="GWZT-EN"/>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43">
    <w:name w:val="Colorful Shading Accent 5"/>
    <w:basedOn w:val="16"/>
    <w:uiPriority w:val="71"/>
    <w:pPr>
      <w:spacing w:line="240" w:lineRule="auto"/>
    </w:pPr>
    <w:rPr>
      <w:rFonts w:ascii="GWZT-EN"/>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44">
    <w:name w:val="Colorful Shading Accent 6"/>
    <w:basedOn w:val="16"/>
    <w:uiPriority w:val="71"/>
    <w:pPr>
      <w:spacing w:line="240" w:lineRule="auto"/>
    </w:pPr>
    <w:rPr>
      <w:rFonts w:ascii="GWZT-EN"/>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45">
    <w:name w:val="Colorful List"/>
    <w:basedOn w:val="16"/>
    <w:uiPriority w:val="72"/>
    <w:pPr>
      <w:spacing w:line="240" w:lineRule="auto"/>
    </w:pPr>
    <w:rPr>
      <w:rFonts w:ascii="GWZT-EN"/>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6">
    <w:name w:val="Colorful List Accent 1"/>
    <w:basedOn w:val="16"/>
    <w:uiPriority w:val="72"/>
    <w:pPr>
      <w:spacing w:line="240" w:lineRule="auto"/>
    </w:pPr>
    <w:rPr>
      <w:rFonts w:ascii="GWZT-EN"/>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47">
    <w:name w:val="Colorful List Accent 2"/>
    <w:basedOn w:val="16"/>
    <w:uiPriority w:val="72"/>
    <w:pPr>
      <w:spacing w:line="240" w:lineRule="auto"/>
    </w:pPr>
    <w:rPr>
      <w:rFonts w:ascii="GWZT-EN"/>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48">
    <w:name w:val="Colorful List Accent 3"/>
    <w:basedOn w:val="16"/>
    <w:uiPriority w:val="72"/>
    <w:pPr>
      <w:spacing w:line="240" w:lineRule="auto"/>
    </w:pPr>
    <w:rPr>
      <w:rFonts w:ascii="GWZT-EN"/>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49">
    <w:name w:val="Colorful List Accent 4"/>
    <w:basedOn w:val="16"/>
    <w:uiPriority w:val="72"/>
    <w:pPr>
      <w:spacing w:line="240" w:lineRule="auto"/>
    </w:pPr>
    <w:rPr>
      <w:rFonts w:ascii="GWZT-EN"/>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50">
    <w:name w:val="Colorful List Accent 5"/>
    <w:basedOn w:val="16"/>
    <w:uiPriority w:val="72"/>
    <w:pPr>
      <w:spacing w:line="240" w:lineRule="auto"/>
    </w:pPr>
    <w:rPr>
      <w:rFonts w:ascii="GWZT-EN"/>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51">
    <w:name w:val="Colorful List Accent 6"/>
    <w:basedOn w:val="16"/>
    <w:uiPriority w:val="72"/>
    <w:pPr>
      <w:spacing w:line="240" w:lineRule="auto"/>
    </w:pPr>
    <w:rPr>
      <w:rFonts w:ascii="GWZT-EN"/>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52">
    <w:name w:val="Colorful Grid"/>
    <w:basedOn w:val="16"/>
    <w:uiPriority w:val="73"/>
    <w:pPr>
      <w:spacing w:line="240" w:lineRule="auto"/>
    </w:pPr>
    <w:rPr>
      <w:rFonts w:ascii="GWZT-EN"/>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3">
    <w:name w:val="Colorful Grid Accent 1"/>
    <w:basedOn w:val="16"/>
    <w:uiPriority w:val="73"/>
    <w:pPr>
      <w:spacing w:line="240" w:lineRule="auto"/>
    </w:pPr>
    <w:rPr>
      <w:rFonts w:ascii="GWZT-EN"/>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54">
    <w:name w:val="Colorful Grid Accent 2"/>
    <w:basedOn w:val="16"/>
    <w:uiPriority w:val="73"/>
    <w:pPr>
      <w:spacing w:line="240" w:lineRule="auto"/>
    </w:pPr>
    <w:rPr>
      <w:rFonts w:ascii="GWZT-EN"/>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55">
    <w:name w:val="Colorful Grid Accent 3"/>
    <w:basedOn w:val="16"/>
    <w:uiPriority w:val="73"/>
    <w:pPr>
      <w:spacing w:line="240" w:lineRule="auto"/>
    </w:pPr>
    <w:rPr>
      <w:rFonts w:ascii="GWZT-EN"/>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56">
    <w:name w:val="Colorful Grid Accent 4"/>
    <w:basedOn w:val="16"/>
    <w:uiPriority w:val="73"/>
    <w:pPr>
      <w:spacing w:line="240" w:lineRule="auto"/>
    </w:pPr>
    <w:rPr>
      <w:rFonts w:ascii="GWZT-EN"/>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57">
    <w:name w:val="Colorful Grid Accent 5"/>
    <w:basedOn w:val="16"/>
    <w:uiPriority w:val="73"/>
    <w:pPr>
      <w:spacing w:line="240" w:lineRule="auto"/>
    </w:pPr>
    <w:rPr>
      <w:rFonts w:ascii="GWZT-EN"/>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58">
    <w:name w:val="Colorful Grid Accent 6"/>
    <w:basedOn w:val="16"/>
    <w:uiPriority w:val="73"/>
    <w:pPr>
      <w:spacing w:line="240" w:lineRule="auto"/>
    </w:pPr>
    <w:rPr>
      <w:rFonts w:ascii="GWZT-EN"/>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60">
    <w:name w:val="Strong"/>
    <w:basedOn w:val="159"/>
    <w:qFormat/>
    <w:uiPriority w:val="0"/>
    <w:rPr>
      <w:rFonts w:ascii="GWZT-EN"/>
      <w:b/>
    </w:rPr>
  </w:style>
  <w:style w:type="character" w:styleId="161">
    <w:name w:val="endnote reference"/>
    <w:basedOn w:val="159"/>
    <w:uiPriority w:val="0"/>
    <w:rPr>
      <w:rFonts w:ascii="GWZT-EN"/>
      <w:vertAlign w:val="superscript"/>
    </w:rPr>
  </w:style>
  <w:style w:type="character" w:styleId="162">
    <w:name w:val="page number"/>
    <w:basedOn w:val="159"/>
    <w:uiPriority w:val="0"/>
    <w:rPr>
      <w:rFonts w:ascii="GWZT-EN"/>
    </w:rPr>
  </w:style>
  <w:style w:type="character" w:styleId="163">
    <w:name w:val="FollowedHyperlink"/>
    <w:basedOn w:val="159"/>
    <w:uiPriority w:val="0"/>
    <w:rPr>
      <w:rFonts w:ascii="GWZT-EN"/>
      <w:color w:val="800080"/>
      <w:u w:val="single"/>
    </w:rPr>
  </w:style>
  <w:style w:type="character" w:styleId="164">
    <w:name w:val="Emphasis"/>
    <w:basedOn w:val="159"/>
    <w:qFormat/>
    <w:uiPriority w:val="0"/>
    <w:rPr>
      <w:rFonts w:ascii="GWZT-EN"/>
      <w:i/>
    </w:rPr>
  </w:style>
  <w:style w:type="character" w:styleId="165">
    <w:name w:val="line number"/>
    <w:basedOn w:val="159"/>
    <w:uiPriority w:val="0"/>
    <w:rPr>
      <w:rFonts w:ascii="GWZT-EN"/>
    </w:rPr>
  </w:style>
  <w:style w:type="character" w:styleId="166">
    <w:name w:val="HTML Definition"/>
    <w:basedOn w:val="159"/>
    <w:uiPriority w:val="0"/>
    <w:rPr>
      <w:rFonts w:ascii="GWZT-EN"/>
      <w:i/>
    </w:rPr>
  </w:style>
  <w:style w:type="character" w:styleId="167">
    <w:name w:val="HTML Typewriter"/>
    <w:basedOn w:val="159"/>
    <w:uiPriority w:val="0"/>
    <w:rPr>
      <w:rFonts w:ascii="GWZT-EN" w:hAnsi="Courier New"/>
      <w:sz w:val="20"/>
    </w:rPr>
  </w:style>
  <w:style w:type="character" w:styleId="168">
    <w:name w:val="HTML Acronym"/>
    <w:basedOn w:val="159"/>
    <w:uiPriority w:val="0"/>
    <w:rPr>
      <w:rFonts w:ascii="GWZT-EN"/>
    </w:rPr>
  </w:style>
  <w:style w:type="character" w:styleId="169">
    <w:name w:val="HTML Variable"/>
    <w:basedOn w:val="159"/>
    <w:uiPriority w:val="0"/>
    <w:rPr>
      <w:rFonts w:ascii="GWZT-EN"/>
      <w:i/>
    </w:rPr>
  </w:style>
  <w:style w:type="character" w:styleId="170">
    <w:name w:val="Hyperlink"/>
    <w:basedOn w:val="159"/>
    <w:uiPriority w:val="0"/>
    <w:rPr>
      <w:rFonts w:ascii="GWZT-EN"/>
      <w:color w:val="0000FF"/>
      <w:u w:val="single"/>
    </w:rPr>
  </w:style>
  <w:style w:type="character" w:styleId="171">
    <w:name w:val="HTML Code"/>
    <w:basedOn w:val="159"/>
    <w:uiPriority w:val="0"/>
    <w:rPr>
      <w:rFonts w:ascii="GWZT-EN" w:hAnsi="Courier New"/>
      <w:sz w:val="20"/>
    </w:rPr>
  </w:style>
  <w:style w:type="character" w:styleId="172">
    <w:name w:val="annotation reference"/>
    <w:basedOn w:val="159"/>
    <w:uiPriority w:val="0"/>
    <w:rPr>
      <w:rFonts w:ascii="GWZT-EN"/>
      <w:sz w:val="21"/>
    </w:rPr>
  </w:style>
  <w:style w:type="character" w:styleId="173">
    <w:name w:val="HTML Cite"/>
    <w:basedOn w:val="159"/>
    <w:uiPriority w:val="0"/>
    <w:rPr>
      <w:rFonts w:ascii="GWZT-EN"/>
      <w:i/>
    </w:rPr>
  </w:style>
  <w:style w:type="character" w:styleId="174">
    <w:name w:val="footnote reference"/>
    <w:basedOn w:val="159"/>
    <w:uiPriority w:val="0"/>
    <w:rPr>
      <w:rFonts w:ascii="GWZT-EN"/>
      <w:vertAlign w:val="superscript"/>
    </w:rPr>
  </w:style>
  <w:style w:type="character" w:styleId="175">
    <w:name w:val="HTML Keyboard"/>
    <w:basedOn w:val="159"/>
    <w:uiPriority w:val="0"/>
    <w:rPr>
      <w:rFonts w:ascii="GWZT-EN" w:hAnsi="Courier New"/>
      <w:sz w:val="20"/>
    </w:rPr>
  </w:style>
  <w:style w:type="character" w:styleId="176">
    <w:name w:val="HTML Sample"/>
    <w:basedOn w:val="159"/>
    <w:uiPriority w:val="0"/>
    <w:rPr>
      <w:rFonts w:ascii="GWZT-EN" w:hAnsi="Courier New"/>
    </w:rPr>
  </w:style>
  <w:style w:type="character" w:customStyle="1" w:styleId="177">
    <w:name w:val="标题 3 Char"/>
    <w:uiPriority w:val="0"/>
    <w:rPr>
      <w:rFonts w:ascii="GWZT-EN" w:hAnsi="Times New Roman" w:eastAsia="仿宋" w:cs="仿宋"/>
      <w:sz w:val="32"/>
      <w:szCs w:val="32"/>
    </w:rPr>
  </w:style>
  <w:style w:type="character" w:customStyle="1" w:styleId="178">
    <w:name w:val="标题 2 Char"/>
    <w:uiPriority w:val="0"/>
    <w:rPr>
      <w:rFonts w:ascii="GWZT-EN" w:hAnsi="Times New Roman" w:eastAsia="楷体" w:cs="楷体"/>
      <w:sz w:val="32"/>
      <w:szCs w:val="32"/>
    </w:rPr>
  </w:style>
  <w:style w:type="character" w:customStyle="1" w:styleId="179">
    <w:name w:val="正文文本 Char"/>
    <w:qFormat/>
    <w:uiPriority w:val="0"/>
    <w:rPr>
      <w:rFonts w:ascii="GWZT-EN" w:hAnsi="Times New Roman" w:eastAsia="仿宋" w:cs="仿宋"/>
      <w:spacing w:val="-6"/>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4064</Words>
  <Characters>4084</Characters>
  <Lines>0</Lines>
  <Paragraphs>0</Paragraphs>
  <TotalTime>10</TotalTime>
  <ScaleCrop>false</ScaleCrop>
  <LinksUpToDate>false</LinksUpToDate>
  <CharactersWithSpaces>4122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2025-01-24T03:24:00Z</dcterms:created>
  <dc:creator>douniwan</dc:creator>
  <cp:lastModifiedBy>刘宏伟</cp:lastModifiedBy>
  <dcterms:modified xsi:type="dcterms:W3CDTF">2026-06-18T06:24:00Z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C0D6A57A06234963981820CD93A69423_12</vt:lpwstr>
  </property>
  <property fmtid="{D5CDD505-2E9C-101B-9397-08002B2CF9AE}" pid="4" name="KSOTemplateDocerSaveRecord">
    <vt:lpwstr>eyJoZGlkIjoiZmFmZDI4ZGRlZWU3OWE0OGY5M2Q1ZjRiY2NlOWI4NzEiLCJ1c2VySWQiOiIxNzg1MDkyMTIzIn0=</vt:lpwstr>
  </property>
</Properties>
</file>