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B95CA">
      <w:pPr>
        <w:pStyle w:val="15"/>
        <w:widowControl/>
        <w:rPr>
          <w:rFonts w:ascii="GWZT-EN" w:hAnsi="方正小标宋_GBK" w:eastAsia="方正小标宋_GBK" w:cs="方正小标宋_GBK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5"/>
        </mc:Choice>
      </mc:AlternateContent>
      <w:r>
        <w:rPr>
          <w:rFonts w:ascii="GWZT-EN" w:hAnsi="方正小标宋_GBK" w:eastAsia="方正小标宋_GBK" w:cs="方正小标宋_GBK"/>
          <w:b w:val="0"/>
          <w:bCs w:val="0"/>
          <w:sz w:val="44"/>
          <w:szCs w:val="44"/>
        </w:rPr>
        <w:t>水南院区口腔科（大厅区域）改造</w:t>
      </w:r>
      <w:r>
        <w:rPr>
          <w:rFonts w:hint="eastAsia" w:cs="方正小标宋_GBK"/>
          <w:b w:val="0"/>
          <w:bCs w:val="0"/>
          <w:sz w:val="44"/>
          <w:szCs w:val="44"/>
          <w:lang w:val="en-US" w:eastAsia="zh-CN"/>
        </w:rPr>
        <w:t>技术咨询</w:t>
      </w:r>
      <w:r>
        <w:rPr>
          <w:rFonts w:ascii="GWZT-EN" w:hAnsi="方正小标宋_GBK" w:eastAsia="方正小标宋_GBK" w:cs="方正小标宋_GBK"/>
          <w:b w:val="0"/>
          <w:bCs w:val="0"/>
          <w:sz w:val="44"/>
          <w:szCs w:val="44"/>
        </w:rPr>
        <w:t>服务采购需求</w:t>
      </w:r>
      <mc:AlternateContent>
        <mc:Choice Requires="wpsCustomData">
          <wpsCustomData:docfieldEnd id="0"/>
        </mc:Choice>
      </mc:AlternateContent>
    </w:p>
    <w:p w14:paraId="12BF9A61">
      <w:pPr>
        <w:pStyle w:val="11"/>
        <w:bidi w:val="0"/>
        <w:spacing w:beforeAutospacing="0" w:afterAutospacing="0" w:line="300" w:lineRule="exact"/>
        <w:rPr>
          <w:rFonts w:ascii="GWZT-EN"/>
        </w:rPr>
      </w:pPr>
    </w:p>
    <w:p w14:paraId="2A44F893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ascii="GWZT-EN" w:eastAsia="黑体"/>
          <w:b w:val="0"/>
          <w:bCs w:val="0"/>
          <w:sz w:val="32"/>
          <w:szCs w:val="32"/>
        </w:rPr>
      </w:pPr>
      <w:r>
        <w:rPr>
          <w:rFonts w:hint="eastAsia" w:ascii="GWZT-EN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GWZT-EN" w:hAnsi="黑体" w:eastAsia="黑体" w:cs="黑体"/>
          <w:b w:val="0"/>
          <w:bCs w:val="0"/>
          <w:sz w:val="32"/>
          <w:szCs w:val="32"/>
        </w:rPr>
        <w:t>项目概况</w:t>
      </w:r>
    </w:p>
    <w:p w14:paraId="7243AAD3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GWZT-EN" w:eastAsia="楷体"/>
          <w:b w:val="0"/>
          <w:bCs w:val="0"/>
          <w:sz w:val="32"/>
          <w:szCs w:val="32"/>
        </w:rPr>
      </w:pPr>
      <w:r>
        <w:rPr>
          <w:rFonts w:hint="eastAsia" w:ascii="GWZT-EN" w:hAnsi="楷体" w:eastAsia="楷体" w:cs="楷体"/>
          <w:b w:val="0"/>
          <w:bCs w:val="0"/>
          <w:sz w:val="32"/>
          <w:szCs w:val="32"/>
          <w:lang w:eastAsia="zh-CN"/>
        </w:rPr>
        <w:t>（一）</w:t>
      </w:r>
      <w:r>
        <w:rPr>
          <w:rFonts w:ascii="GWZT-EN" w:hAnsi="Times New Roman" w:eastAsia="楷体" w:cs="楷体"/>
          <w:b w:val="0"/>
          <w:bCs w:val="0"/>
          <w:sz w:val="32"/>
          <w:szCs w:val="32"/>
        </w:rPr>
        <w:t>项目背景</w:t>
      </w:r>
    </w:p>
    <w:p w14:paraId="15174B4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水南院区1号楼5层原有办公室无完整建筑、机电竣工图纸。为分步实施口腔科改造，优先开展大厅区域改造，现采购该区域现场</w:t>
      </w:r>
      <w:r>
        <w:rPr>
          <w:rFonts w:ascii="GWZT-EN" w:hAnsi="Times New Roman" w:eastAsia="仿宋" w:cs="仿宋"/>
          <w:b w:val="0"/>
          <w:bCs w:val="0"/>
          <w:color w:val="000000"/>
          <w:spacing w:val="-6"/>
          <w:sz w:val="32"/>
          <w:szCs w:val="32"/>
        </w:rPr>
        <w:t>测绘、</w:t>
      </w:r>
      <w:r>
        <w:rPr>
          <w:rFonts w:hint="eastAsia" w:cs="仿宋"/>
          <w:b w:val="0"/>
          <w:bCs w:val="0"/>
          <w:color w:val="000000"/>
          <w:spacing w:val="-6"/>
          <w:sz w:val="32"/>
          <w:szCs w:val="32"/>
          <w:lang w:val="en-US" w:eastAsia="zh-CN"/>
        </w:rPr>
        <w:t>检测鉴定、方案及</w:t>
      </w:r>
      <w:r>
        <w:rPr>
          <w:rFonts w:ascii="GWZT-EN" w:hAnsi="Times New Roman" w:eastAsia="仿宋" w:cs="仿宋"/>
          <w:b w:val="0"/>
          <w:bCs w:val="0"/>
          <w:color w:val="000000"/>
          <w:spacing w:val="-6"/>
          <w:sz w:val="32"/>
          <w:szCs w:val="32"/>
        </w:rPr>
        <w:t>施工图设计一体化前期技术服务</w:t>
      </w:r>
      <w:r>
        <w:rPr>
          <w:rFonts w:hint="eastAsia" w:ascii="GWZT-EN" w:hAnsi="仿宋" w:eastAsia="仿宋" w:cs="仿宋"/>
          <w:b w:val="0"/>
          <w:bCs w:val="0"/>
          <w:color w:val="000000"/>
          <w:spacing w:val="-6"/>
          <w:sz w:val="32"/>
          <w:szCs w:val="32"/>
          <w:lang w:eastAsia="zh-CN"/>
        </w:rPr>
        <w:t>，</w:t>
      </w:r>
      <w:r>
        <w:rPr>
          <w:rFonts w:ascii="GWZT-EN" w:hAnsi="Times New Roman" w:eastAsia="仿宋" w:cs="仿宋"/>
          <w:b w:val="0"/>
          <w:bCs w:val="0"/>
          <w:color w:val="000000"/>
          <w:spacing w:val="-6"/>
          <w:sz w:val="32"/>
          <w:szCs w:val="32"/>
        </w:rPr>
        <w:t>大厅</w:t>
      </w:r>
      <w:r>
        <w:rPr>
          <w:rFonts w:hint="eastAsia" w:cs="仿宋"/>
          <w:b w:val="0"/>
          <w:bCs w:val="0"/>
          <w:color w:val="000000"/>
          <w:spacing w:val="-6"/>
          <w:sz w:val="32"/>
          <w:szCs w:val="32"/>
          <w:lang w:val="en-US" w:eastAsia="zh-CN"/>
        </w:rPr>
        <w:t>面积</w:t>
      </w:r>
      <w:r>
        <w:rPr>
          <w:rFonts w:hint="eastAsia" w:ascii="GWZT-EN" w:hAnsi="仿宋" w:eastAsia="仿宋" w:cs="仿宋"/>
          <w:b w:val="0"/>
          <w:bCs w:val="0"/>
          <w:color w:val="000000"/>
          <w:spacing w:val="-6"/>
          <w:sz w:val="32"/>
          <w:szCs w:val="32"/>
          <w:lang w:val="en-US" w:eastAsia="zh-CN"/>
        </w:rPr>
        <w:t>约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475㎡</w:t>
      </w:r>
    </w:p>
    <w:p w14:paraId="216353ED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GWZT-EN" w:eastAsia="楷体"/>
          <w:b w:val="0"/>
          <w:bCs w:val="0"/>
          <w:sz w:val="32"/>
          <w:szCs w:val="32"/>
        </w:rPr>
      </w:pPr>
      <w:r>
        <w:rPr>
          <w:rFonts w:hint="eastAsia" w:ascii="GWZT-EN" w:hAnsi="楷体" w:eastAsia="楷体" w:cs="楷体"/>
          <w:b w:val="0"/>
          <w:bCs w:val="0"/>
          <w:sz w:val="32"/>
          <w:szCs w:val="32"/>
          <w:lang w:eastAsia="zh-CN"/>
        </w:rPr>
        <w:t>（二）</w:t>
      </w:r>
      <w:r>
        <w:rPr>
          <w:rFonts w:ascii="GWZT-EN" w:hAnsi="Times New Roman" w:eastAsia="楷体" w:cs="楷体"/>
          <w:b w:val="0"/>
          <w:bCs w:val="0"/>
          <w:sz w:val="32"/>
          <w:szCs w:val="32"/>
        </w:rPr>
        <w:t>改造范围</w:t>
      </w:r>
    </w:p>
    <w:p w14:paraId="0C64173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水南院区1号楼5楼</w:t>
      </w:r>
      <w:r>
        <w:rPr>
          <w:rStyle w:val="160"/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大厅区域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，改造面积约475㎡，包含候诊大厅、部分诊疗室、公共通道等；统筹动线优化、结构加固、消防、机电、院感分区全专业改造设计。整层其余区域不在本次服务范围内，但设计需兼顾与后期剩余区域的接口预留、条件兼容。</w:t>
      </w:r>
    </w:p>
    <w:p w14:paraId="704790B5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GWZT-EN" w:eastAsia="楷体"/>
          <w:b w:val="0"/>
          <w:bCs w:val="0"/>
          <w:sz w:val="32"/>
          <w:szCs w:val="32"/>
        </w:rPr>
      </w:pPr>
      <w:r>
        <w:rPr>
          <w:rFonts w:hint="eastAsia" w:ascii="GWZT-EN" w:hAnsi="楷体" w:eastAsia="楷体" w:cs="楷体"/>
          <w:b w:val="0"/>
          <w:bCs w:val="0"/>
          <w:sz w:val="32"/>
          <w:szCs w:val="32"/>
          <w:lang w:eastAsia="zh-CN"/>
        </w:rPr>
        <w:t>（三）</w:t>
      </w:r>
      <w:r>
        <w:rPr>
          <w:rFonts w:ascii="GWZT-EN" w:hAnsi="Times New Roman" w:eastAsia="楷体" w:cs="楷体"/>
          <w:b w:val="0"/>
          <w:bCs w:val="0"/>
          <w:sz w:val="32"/>
          <w:szCs w:val="32"/>
        </w:rPr>
        <w:t>采购内容</w:t>
      </w:r>
    </w:p>
    <w:p w14:paraId="3C5DE1B8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服务打包采购，不分标段、不接受联合体；总预算限价1.现场测绘</w:t>
      </w:r>
      <w:r>
        <w:rPr>
          <w:rFonts w:hint="eastAsia" w:cs="仿宋"/>
          <w:b w:val="0"/>
          <w:bCs w:val="0"/>
          <w:color w:val="000000"/>
          <w:sz w:val="32"/>
          <w:szCs w:val="32"/>
          <w:lang w:val="en-US" w:eastAsia="zh-CN"/>
        </w:rPr>
        <w:t>2、检测鉴定3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.方案</w:t>
      </w:r>
      <w:r>
        <w:rPr>
          <w:rFonts w:hint="eastAsia" w:cs="仿宋"/>
          <w:b w:val="0"/>
          <w:bCs w:val="0"/>
          <w:color w:val="000000"/>
          <w:sz w:val="32"/>
          <w:szCs w:val="32"/>
          <w:lang w:val="en-US" w:eastAsia="zh-CN"/>
        </w:rPr>
        <w:t>及施工图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设计（方案、初设、施工图、院感专项及全周期技术配合）</w:t>
      </w:r>
    </w:p>
    <w:p w14:paraId="61468965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备注：总价包干，包含人工、踏勘、绘图、</w:t>
      </w:r>
      <w:r>
        <w:rPr>
          <w:rFonts w:hint="eastAsia" w:cs="仿宋"/>
          <w:b w:val="0"/>
          <w:bCs w:val="0"/>
          <w:color w:val="000000"/>
          <w:sz w:val="32"/>
          <w:szCs w:val="32"/>
          <w:lang w:val="en-US" w:eastAsia="zh-CN"/>
        </w:rPr>
        <w:t>检测鉴定、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交通、税费、多次修改、报审配合等全部费用，采购人无需额外付费。</w:t>
      </w:r>
    </w:p>
    <w:p w14:paraId="370FC105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ascii="GWZT-EN" w:eastAsia="黑体"/>
          <w:b w:val="0"/>
          <w:bCs w:val="0"/>
          <w:sz w:val="32"/>
          <w:szCs w:val="32"/>
        </w:rPr>
      </w:pPr>
      <w:r>
        <w:rPr>
          <w:rFonts w:hint="eastAsia" w:ascii="GWZT-EN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GWZT-EN" w:hAnsi="黑体" w:eastAsia="黑体" w:cs="黑体"/>
          <w:b w:val="0"/>
          <w:bCs w:val="0"/>
          <w:sz w:val="32"/>
          <w:szCs w:val="32"/>
        </w:rPr>
        <w:t>各项服务工作要求</w:t>
      </w:r>
    </w:p>
    <w:p w14:paraId="2E26AD8C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GWZT-EN" w:eastAsia="楷体"/>
          <w:b w:val="0"/>
          <w:bCs w:val="0"/>
          <w:sz w:val="32"/>
          <w:szCs w:val="32"/>
        </w:rPr>
      </w:pPr>
      <w:r>
        <w:rPr>
          <w:rFonts w:hint="eastAsia" w:ascii="GWZT-EN" w:hAnsi="楷体" w:eastAsia="楷体" w:cs="楷体"/>
          <w:b w:val="0"/>
          <w:bCs w:val="0"/>
          <w:sz w:val="32"/>
          <w:szCs w:val="32"/>
          <w:lang w:eastAsia="zh-CN"/>
        </w:rPr>
        <w:t>（一）</w:t>
      </w:r>
      <w:r>
        <w:rPr>
          <w:rFonts w:ascii="GWZT-EN" w:hAnsi="Times New Roman" w:eastAsia="楷体" w:cs="楷体"/>
          <w:b w:val="0"/>
          <w:bCs w:val="0"/>
          <w:sz w:val="32"/>
          <w:szCs w:val="32"/>
        </w:rPr>
        <w:t>现场测绘服务</w:t>
      </w:r>
    </w:p>
    <w:p w14:paraId="54A46B2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完成本次改造大厅区域实地测绘、影像留存，调取城建、不动产档案核查产权规划，出具合规说明及整改建议；形成测绘台账、全套实测图纸、档案复印件。测绘数据需精准，数据失真造成的损失由服务商全部承担。</w:t>
      </w:r>
    </w:p>
    <w:p w14:paraId="194FECF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备注：测绘需同步梳理本层其余未改造区域现状关键接口（管线、墙体、防火分区），为后期续建预留衔接条件。</w:t>
      </w:r>
    </w:p>
    <w:p w14:paraId="01FF3231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default" w:ascii="GWZT-EN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hAnsi="楷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hAnsi="楷体" w:cs="楷体"/>
          <w:b w:val="0"/>
          <w:bCs w:val="0"/>
          <w:sz w:val="32"/>
          <w:szCs w:val="32"/>
          <w:lang w:val="en-US" w:eastAsia="zh-CN"/>
        </w:rPr>
        <w:t>二）现场检测鉴定，出具检测鉴定报告，并对成果文件负责。</w:t>
      </w:r>
    </w:p>
    <w:p w14:paraId="5ED0D74A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GWZT-EN" w:eastAsia="楷体"/>
          <w:b w:val="0"/>
          <w:bCs w:val="0"/>
          <w:sz w:val="32"/>
          <w:szCs w:val="32"/>
        </w:rPr>
      </w:pPr>
      <w:r>
        <w:rPr>
          <w:rFonts w:hint="eastAsia" w:ascii="GWZT-EN" w:hAnsi="楷体" w:eastAsia="楷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hAnsi="楷体" w:cs="楷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GWZT-EN" w:hAnsi="楷体" w:eastAsia="楷体" w:cs="楷体"/>
          <w:b w:val="0"/>
          <w:bCs w:val="0"/>
          <w:sz w:val="32"/>
          <w:szCs w:val="32"/>
          <w:lang w:eastAsia="zh-CN"/>
        </w:rPr>
        <w:t>）</w:t>
      </w:r>
      <w:r>
        <w:rPr>
          <w:rFonts w:ascii="GWZT-EN" w:hAnsi="Times New Roman" w:eastAsia="楷体" w:cs="楷体"/>
          <w:b w:val="0"/>
          <w:bCs w:val="0"/>
          <w:sz w:val="32"/>
          <w:szCs w:val="32"/>
        </w:rPr>
        <w:t>方案</w:t>
      </w:r>
      <w:r>
        <w:rPr>
          <w:rFonts w:hint="eastAsia" w:cs="楷体"/>
          <w:b w:val="0"/>
          <w:bCs w:val="0"/>
          <w:sz w:val="32"/>
          <w:szCs w:val="32"/>
          <w:lang w:val="en-US" w:eastAsia="zh-CN"/>
        </w:rPr>
        <w:t>及施工图</w:t>
      </w:r>
      <w:r>
        <w:rPr>
          <w:rFonts w:ascii="GWZT-EN" w:hAnsi="Times New Roman" w:eastAsia="楷体" w:cs="楷体"/>
          <w:b w:val="0"/>
          <w:bCs w:val="0"/>
          <w:sz w:val="32"/>
          <w:szCs w:val="32"/>
        </w:rPr>
        <w:t>设计服务</w:t>
      </w:r>
    </w:p>
    <w:p w14:paraId="237B040B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含现状图、方案、初设、全套施工图及全周期技术配合，满足院感、图审、消防验收要求。1.依据测绘成果出具本次改造区域全套建筑、结构、机电现状CAD图纸；优化口腔大厅及对应诊疗平面，完成加固、给排水、强弱电、初设图纸及概算。设计须考虑与后期剩余改造区域的管线、防火分区、院感流程衔接预留。2.出具全专业施工图纸，针对消毒区、污物通道等出具院感专项详图，图纸通过第三方图审。3.提供设计交底、驻场答疑、变更出图、竣工图核对，全程配合消防、卫健验收评审并免费优化图纸。</w:t>
      </w:r>
    </w:p>
    <w:p w14:paraId="58D150B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说明：全过程造价咨询本次不纳入采购范围。采购人可根据项目推进情况，对剩余区域另行开展采购。</w:t>
      </w:r>
    </w:p>
    <w:p w14:paraId="20027263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ascii="GWZT-EN" w:eastAsia="黑体"/>
          <w:b w:val="0"/>
          <w:bCs w:val="0"/>
          <w:sz w:val="32"/>
          <w:szCs w:val="32"/>
        </w:rPr>
      </w:pPr>
      <w:r>
        <w:rPr>
          <w:rFonts w:hint="eastAsia" w:ascii="GWZT-EN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GWZT-EN" w:hAnsi="黑体" w:eastAsia="黑体" w:cs="黑体"/>
          <w:b w:val="0"/>
          <w:bCs w:val="0"/>
          <w:sz w:val="32"/>
          <w:szCs w:val="32"/>
        </w:rPr>
        <w:t>供应商资格</w:t>
      </w:r>
    </w:p>
    <w:p w14:paraId="07C27AC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Style w:val="177"/>
          <w:rFonts w:ascii="GWZT-EN"/>
        </w:rPr>
        <w:t>1.主体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：独立法人，信用良好，无失信、政府采购违法及重大违规记录；2.资质：具备</w:t>
      </w:r>
      <w:r>
        <w:rPr>
          <w:rStyle w:val="160"/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建筑行业（建筑工程）设计乙级及以上资质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；具备工程</w:t>
      </w:r>
      <w:r>
        <w:rPr>
          <w:rFonts w:hint="eastAsia" w:cs="仿宋"/>
          <w:b w:val="0"/>
          <w:bCs w:val="0"/>
          <w:color w:val="000000"/>
          <w:sz w:val="32"/>
          <w:szCs w:val="32"/>
          <w:lang w:val="en-US" w:eastAsia="zh-CN"/>
        </w:rPr>
        <w:t>检测鉴定、工程测绘能力和资质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；具备医疗建筑设计相关服务团队。</w:t>
      </w:r>
    </w:p>
    <w:p w14:paraId="50D5FEF8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ascii="GWZT-EN" w:eastAsia="黑体"/>
          <w:b w:val="0"/>
          <w:bCs w:val="0"/>
          <w:sz w:val="32"/>
          <w:szCs w:val="32"/>
        </w:rPr>
      </w:pPr>
      <w:r>
        <w:rPr>
          <w:rFonts w:hint="eastAsia" w:ascii="GWZT-EN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GWZT-EN" w:hAnsi="黑体" w:eastAsia="黑体" w:cs="黑体"/>
          <w:b w:val="0"/>
          <w:bCs w:val="0"/>
          <w:sz w:val="32"/>
          <w:szCs w:val="32"/>
        </w:rPr>
        <w:t>成果交付要求</w:t>
      </w:r>
    </w:p>
    <w:p w14:paraId="442CA2A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Style w:val="177"/>
          <w:rFonts w:ascii="GWZT-EN"/>
        </w:rPr>
        <w:t>1.测绘成果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：测绘台账、全套实测CAD图纸、现场影像、档案复印件、产权合规说明，含与本层其他区域接口条件说明；</w:t>
      </w:r>
      <w:r>
        <w:rPr>
          <w:rFonts w:hint="eastAsia" w:cs="仿宋"/>
          <w:b w:val="0"/>
          <w:bCs w:val="0"/>
          <w:color w:val="000000"/>
          <w:sz w:val="32"/>
          <w:szCs w:val="32"/>
          <w:lang w:val="en-US" w:eastAsia="zh-CN"/>
        </w:rPr>
        <w:t>2、检测鉴定报告3</w:t>
      </w: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.设计成果：全套施工蓝图、专业设计说明、院感专项详图、初设概算；后期施工完成后配合竣工图纸核对；</w:t>
      </w:r>
      <w:r>
        <w:rPr>
          <w:rFonts w:hint="eastAsia" w:cs="仿宋"/>
          <w:b w:val="0"/>
          <w:bCs w:val="0"/>
          <w:color w:val="00000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.全部成果提供纸质＋电子存档资料，配合各方审核，免费修改、答疑、报审验收。</w:t>
      </w:r>
    </w:p>
    <w:p w14:paraId="67CC215A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ascii="GWZT-EN" w:eastAsia="黑体"/>
          <w:b w:val="0"/>
          <w:bCs w:val="0"/>
          <w:sz w:val="32"/>
          <w:szCs w:val="32"/>
        </w:rPr>
      </w:pPr>
      <w:r>
        <w:rPr>
          <w:rFonts w:hint="eastAsia" w:ascii="GWZT-EN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GWZT-EN" w:hAnsi="黑体" w:eastAsia="黑体" w:cs="黑体"/>
          <w:b w:val="0"/>
          <w:bCs w:val="0"/>
          <w:sz w:val="32"/>
          <w:szCs w:val="32"/>
        </w:rPr>
        <w:t>其他约束要求</w:t>
      </w:r>
    </w:p>
    <w:p w14:paraId="0D5A8DF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</w:pPr>
      <w:r>
        <w:rPr>
          <w:rFonts w:ascii="GWZT-EN" w:hAnsi="Times New Roman" w:eastAsia="仿宋" w:cs="仿宋"/>
          <w:b w:val="0"/>
          <w:bCs w:val="0"/>
          <w:color w:val="000000"/>
          <w:sz w:val="32"/>
          <w:szCs w:val="32"/>
        </w:rPr>
        <w:t>1.服务整体采购，不拆分、不分包转包，不接受联合体；投标须附分项报价，无分项报价按无效标处理；单项成果不合格，采购人可按对应分项价款扣除违约金。2.所有工作符合医疗建筑、院感、消防、计价、规划相关规范，满足口腔科临床使用，兼顾后期续建兼容性。3.施工阶段每周至少一次现场对接，及时解决测绘、功能布局、设计变更问题。4.本项目全部文本、图纸、测绘成果知识产权归采购人所有。5.服务商不得隐瞒本次改造范围内结构、消防、产权隐患，测绘检测数据真实可靠，成果不实造成返工、延误、经济损失全部由服务商承担。6.验收标准：成果齐全完整；测绘图纸与现场尺寸一致；改造方案符合医疗规范；全套资料可直接用于各主管部门报审及本区域项目招标。</w:t>
      </w:r>
    </w:p>
    <w:p w14:paraId="4C660978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ascii="GWZT-E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DE">
      <wne:fci wne:fciName="Wpsaigc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WZT-EN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9E62A">
    <w:pPr>
      <w:pStyle w:val="12"/>
      <w:rPr>
        <w:rFonts w:ascii="GWZT-EN"/>
      </w:rPr>
    </w:pPr>
    <w:r>
      <w:rPr>
        <w:rFonts w:ascii="GWZT-E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9F21AB">
                          <w:pPr>
                            <w:pStyle w:val="12"/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99F21AB">
                    <w:pPr>
                      <w:pStyle w:val="12"/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09B54">
    <w:pPr>
      <w:pStyle w:val="12"/>
      <w:rPr>
        <w:rFonts w:ascii="GWZT-EN"/>
      </w:rPr>
    </w:pPr>
    <w:r>
      <w:rPr>
        <w:rFonts w:ascii="GWZT-EN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118EC9">
                          <w:pPr>
                            <w:pStyle w:val="12"/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C118EC9">
                    <w:pPr>
                      <w:pStyle w:val="12"/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2</w:t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F22CE">
    <w:pPr>
      <w:pStyle w:val="13"/>
      <w:pBdr>
        <w:bottom w:val="none" w:color="auto" w:sz="0" w:space="1"/>
      </w:pBdr>
      <w:rPr>
        <w:rFonts w:ascii="GWZT-E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05D05">
    <w:pPr>
      <w:pStyle w:val="13"/>
      <w:pBdr>
        <w:bottom w:val="none" w:color="auto" w:sz="0" w:space="1"/>
      </w:pBdr>
      <w:rPr>
        <w:rFonts w:ascii="GWZT-E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8F318B"/>
    <w:rsid w:val="63976041"/>
    <w:rsid w:val="72E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GWZT-EN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GWZT-EN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77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GWZT-EN" w:hAnsi="Times New Roman" w:eastAsia="楷体" w:cs="楷体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GWZT-EN" w:hAnsi="Times New Roman" w:eastAsia="仿宋" w:cs="仿宋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GWZT-EN" w:hAnsi="Times New Roman" w:eastAsia="仿宋" w:cs="仿宋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GWZT-EN" w:hAnsi="Times New Roman" w:eastAsia="仿宋" w:cs="仿宋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GWZT-EN" w:hAnsi="Times New Roman" w:eastAsia="仿宋" w:cs="仿宋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GWZT-EN" w:hAnsi="Times New Roman" w:eastAsia="仿宋" w:cs="仿宋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GWZT-EN" w:hAnsi="Times New Roman" w:eastAsia="仿宋" w:cs="仿宋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GWZT-EN" w:hAnsi="Times New Roman" w:eastAsia="仿宋" w:cs="仿宋"/>
      <w:sz w:val="32"/>
      <w:szCs w:val="32"/>
    </w:rPr>
  </w:style>
  <w:style w:type="character" w:default="1" w:styleId="159">
    <w:name w:val="Default Paragraph Font"/>
    <w:semiHidden/>
    <w:uiPriority w:val="0"/>
    <w:rPr>
      <w:rFonts w:ascii="GWZT-EN"/>
    </w:rPr>
  </w:style>
  <w:style w:type="table" w:default="1" w:styleId="16">
    <w:name w:val="Normal Table"/>
    <w:semiHidden/>
    <w:uiPriority w:val="0"/>
    <w:pPr>
      <w:spacing w:line="1" w:lineRule="exact"/>
    </w:pPr>
    <w:rPr>
      <w:rFonts w:ascii="GWZT-E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link w:val="178"/>
    <w:uiPriority w:val="0"/>
    <w:pPr>
      <w:spacing w:line="560" w:lineRule="exact"/>
      <w:ind w:firstLine="630" w:firstLineChars="200"/>
      <w:jc w:val="both"/>
    </w:pPr>
    <w:rPr>
      <w:rFonts w:ascii="GWZT-EN" w:hAnsi="Times New Roman" w:eastAsia="仿宋" w:cs="仿宋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GWZT-EN"/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GWZT-EN"/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GWZT-EN" w:hAnsi="Times New Roman" w:eastAsia="仿宋" w:cs="仿宋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GWZT-EN" w:hAnsi="方正小标宋_GBK" w:eastAsia="方正小标宋_GBK" w:cs="方正小标宋_GBK"/>
      <w:sz w:val="44"/>
      <w:szCs w:val="44"/>
    </w:rPr>
  </w:style>
  <w:style w:type="table" w:styleId="17">
    <w:name w:val="Table Grid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8">
    <w:name w:val="Table Theme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9">
    <w:name w:val="Table Colorful 1"/>
    <w:basedOn w:val="16"/>
    <w:uiPriority w:val="0"/>
    <w:pPr>
      <w:widowControl w:val="0"/>
      <w:spacing w:line="1" w:lineRule="exact"/>
      <w:jc w:val="both"/>
    </w:pPr>
    <w:rPr>
      <w:rFonts w:ascii="GWZT-E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0">
    <w:name w:val="Table Colorful 2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1">
    <w:name w:val="Table Colorful 3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22">
    <w:name w:val="Table Elegant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23">
    <w:name w:val="Table Classic 1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4">
    <w:name w:val="Table Classic 2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25">
    <w:name w:val="Table Classic 3"/>
    <w:basedOn w:val="16"/>
    <w:uiPriority w:val="0"/>
    <w:pPr>
      <w:widowControl w:val="0"/>
      <w:spacing w:line="1" w:lineRule="exact"/>
      <w:jc w:val="both"/>
    </w:pPr>
    <w:rPr>
      <w:rFonts w:ascii="GWZT-E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26">
    <w:name w:val="Table Classic 4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27">
    <w:name w:val="Table Simple 1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28">
    <w:name w:val="Table Simple 2"/>
    <w:basedOn w:val="16"/>
    <w:uiPriority w:val="0"/>
    <w:pPr>
      <w:widowControl w:val="0"/>
      <w:spacing w:line="1" w:lineRule="exact"/>
      <w:jc w:val="both"/>
    </w:pPr>
    <w:rPr>
      <w:rFonts w:ascii="GWZT-EN"/>
    </w:r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29">
    <w:name w:val="Table Simple 3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30">
    <w:name w:val="Table Subtle 1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1">
    <w:name w:val="Table Subtle 2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2">
    <w:name w:val="Table 3D effects 1"/>
    <w:basedOn w:val="16"/>
    <w:uiPriority w:val="0"/>
    <w:pPr>
      <w:widowControl w:val="0"/>
      <w:spacing w:line="1" w:lineRule="exact"/>
      <w:jc w:val="both"/>
    </w:pPr>
    <w:rPr>
      <w:rFonts w:ascii="GWZT-E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33">
    <w:name w:val="Table 3D effects 2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4">
    <w:name w:val="Table 3D effects 3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5">
    <w:name w:val="Table List 1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6">
    <w:name w:val="Table List 2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7">
    <w:name w:val="Table List 3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8">
    <w:name w:val="Table List 4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39">
    <w:name w:val="Table List 5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0">
    <w:name w:val="Table List 6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41">
    <w:name w:val="Table List 7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42">
    <w:name w:val="Table List 8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43">
    <w:name w:val="Table Contemporary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44">
    <w:name w:val="Table Columns 1"/>
    <w:basedOn w:val="16"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5">
    <w:name w:val="Table Columns 2"/>
    <w:basedOn w:val="16"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6">
    <w:name w:val="Table Columns 3"/>
    <w:basedOn w:val="16"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7">
    <w:name w:val="Table Columns 4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48">
    <w:name w:val="Table Columns 5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49">
    <w:name w:val="Table Grid 1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0">
    <w:name w:val="Table Grid 2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51">
    <w:name w:val="Table Grid 3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2">
    <w:name w:val="Table Grid 4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3">
    <w:name w:val="Table Grid 5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4">
    <w:name w:val="Table Grid 6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5">
    <w:name w:val="Table Grid 7"/>
    <w:basedOn w:val="16"/>
    <w:uiPriority w:val="0"/>
    <w:pPr>
      <w:widowControl w:val="0"/>
      <w:spacing w:line="1" w:lineRule="exact"/>
      <w:jc w:val="both"/>
    </w:pPr>
    <w:rPr>
      <w:rFonts w:ascii="GWZT-E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56">
    <w:name w:val="Table Grid 8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7">
    <w:name w:val="Table Web 1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Web 2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59">
    <w:name w:val="Table Web 3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60">
    <w:name w:val="Table Professional"/>
    <w:basedOn w:val="16"/>
    <w:uiPriority w:val="0"/>
    <w:pPr>
      <w:widowControl w:val="0"/>
      <w:spacing w:line="1" w:lineRule="exact"/>
      <w:jc w:val="both"/>
    </w:pPr>
    <w:rPr>
      <w:rFonts w:ascii="GWZT-E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61">
    <w:name w:val="Light Shading"/>
    <w:basedOn w:val="16"/>
    <w:uiPriority w:val="60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62">
    <w:name w:val="Light Shading Accent 1"/>
    <w:basedOn w:val="16"/>
    <w:uiPriority w:val="60"/>
    <w:pPr>
      <w:spacing w:line="1" w:lineRule="exact"/>
    </w:pPr>
    <w:rPr>
      <w:rFonts w:ascii="GWZT-EN"/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63">
    <w:name w:val="Light Shading Accent 2"/>
    <w:basedOn w:val="16"/>
    <w:uiPriority w:val="60"/>
    <w:pPr>
      <w:spacing w:line="1" w:lineRule="exact"/>
    </w:pPr>
    <w:rPr>
      <w:rFonts w:ascii="GWZT-EN"/>
      <w:color w:val="943634"/>
    </w:rPr>
    <w:tblPr>
      <w:tblStyleRowBandSize w:val="1"/>
      <w:tblStyleColBandSize w:val="1"/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64">
    <w:name w:val="Light Shading Accent 3"/>
    <w:basedOn w:val="16"/>
    <w:uiPriority w:val="60"/>
    <w:pPr>
      <w:spacing w:line="1" w:lineRule="exact"/>
    </w:pPr>
    <w:rPr>
      <w:rFonts w:ascii="GWZT-EN"/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65">
    <w:name w:val="Light Shading Accent 4"/>
    <w:basedOn w:val="16"/>
    <w:uiPriority w:val="60"/>
    <w:pPr>
      <w:spacing w:line="1" w:lineRule="exact"/>
    </w:pPr>
    <w:rPr>
      <w:rFonts w:ascii="GWZT-EN"/>
      <w:color w:val="5F497A"/>
    </w:rPr>
    <w:tblPr>
      <w:tblStyleRowBandSize w:val="1"/>
      <w:tblStyleColBandSize w:val="1"/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66">
    <w:name w:val="Light Shading Accent 5"/>
    <w:basedOn w:val="16"/>
    <w:uiPriority w:val="60"/>
    <w:pPr>
      <w:spacing w:line="1" w:lineRule="exact"/>
    </w:pPr>
    <w:rPr>
      <w:rFonts w:ascii="GWZT-EN"/>
      <w:color w:val="31849B"/>
    </w:rPr>
    <w:tblPr>
      <w:tblStyleRowBandSize w:val="1"/>
      <w:tblStyleColBandSize w:val="1"/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67">
    <w:name w:val="Light Shading Accent 6"/>
    <w:basedOn w:val="16"/>
    <w:uiPriority w:val="60"/>
    <w:pPr>
      <w:spacing w:line="1" w:lineRule="exact"/>
    </w:pPr>
    <w:rPr>
      <w:rFonts w:ascii="GWZT-EN"/>
      <w:color w:val="E36C0A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68">
    <w:name w:val="Light List"/>
    <w:basedOn w:val="16"/>
    <w:uiPriority w:val="61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69">
    <w:name w:val="Light List Accent 1"/>
    <w:basedOn w:val="16"/>
    <w:uiPriority w:val="61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70">
    <w:name w:val="Light List Accent 2"/>
    <w:basedOn w:val="16"/>
    <w:uiPriority w:val="61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71">
    <w:name w:val="Light List Accent 3"/>
    <w:basedOn w:val="16"/>
    <w:uiPriority w:val="61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72">
    <w:name w:val="Light List Accent 4"/>
    <w:basedOn w:val="16"/>
    <w:uiPriority w:val="61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73">
    <w:name w:val="Light List Accent 5"/>
    <w:basedOn w:val="16"/>
    <w:uiPriority w:val="61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74">
    <w:name w:val="Light List Accent 6"/>
    <w:basedOn w:val="16"/>
    <w:uiPriority w:val="61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75">
    <w:name w:val="Light Grid"/>
    <w:basedOn w:val="16"/>
    <w:uiPriority w:val="62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76">
    <w:name w:val="Light Grid Accent 1"/>
    <w:basedOn w:val="16"/>
    <w:uiPriority w:val="62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77">
    <w:name w:val="Light Grid Accent 2"/>
    <w:basedOn w:val="16"/>
    <w:uiPriority w:val="62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78">
    <w:name w:val="Light Grid Accent 3"/>
    <w:basedOn w:val="16"/>
    <w:uiPriority w:val="62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79">
    <w:name w:val="Light Grid Accent 4"/>
    <w:basedOn w:val="16"/>
    <w:uiPriority w:val="62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80">
    <w:name w:val="Light Grid Accent 5"/>
    <w:basedOn w:val="16"/>
    <w:uiPriority w:val="62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81">
    <w:name w:val="Light Grid Accent 6"/>
    <w:basedOn w:val="16"/>
    <w:uiPriority w:val="62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82">
    <w:name w:val="Medium Shading 1"/>
    <w:basedOn w:val="16"/>
    <w:uiPriority w:val="63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3">
    <w:name w:val="Medium Shading 1 Accent 1"/>
    <w:basedOn w:val="16"/>
    <w:uiPriority w:val="63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4">
    <w:name w:val="Medium Shading 1 Accent 2"/>
    <w:basedOn w:val="16"/>
    <w:uiPriority w:val="63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5">
    <w:name w:val="Medium Shading 1 Accent 3"/>
    <w:basedOn w:val="16"/>
    <w:uiPriority w:val="63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6">
    <w:name w:val="Medium Shading 1 Accent 4"/>
    <w:basedOn w:val="16"/>
    <w:uiPriority w:val="63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7">
    <w:name w:val="Medium Shading 1 Accent 5"/>
    <w:basedOn w:val="16"/>
    <w:uiPriority w:val="63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8">
    <w:name w:val="Medium Shading 1 Accent 6"/>
    <w:basedOn w:val="16"/>
    <w:uiPriority w:val="63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89">
    <w:name w:val="Medium Shading 2"/>
    <w:basedOn w:val="16"/>
    <w:uiPriority w:val="64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0">
    <w:name w:val="Medium Shading 2 Accent 1"/>
    <w:basedOn w:val="16"/>
    <w:uiPriority w:val="64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1">
    <w:name w:val="Medium Shading 2 Accent 2"/>
    <w:basedOn w:val="16"/>
    <w:uiPriority w:val="64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2">
    <w:name w:val="Medium Shading 2 Accent 3"/>
    <w:basedOn w:val="16"/>
    <w:uiPriority w:val="64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3">
    <w:name w:val="Medium Shading 2 Accent 4"/>
    <w:basedOn w:val="16"/>
    <w:uiPriority w:val="64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4">
    <w:name w:val="Medium Shading 2 Accent 5"/>
    <w:basedOn w:val="16"/>
    <w:uiPriority w:val="64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5">
    <w:name w:val="Medium Shading 2 Accent 6"/>
    <w:basedOn w:val="16"/>
    <w:uiPriority w:val="64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96">
    <w:name w:val="Medium List 1"/>
    <w:basedOn w:val="16"/>
    <w:uiPriority w:val="65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97">
    <w:name w:val="Medium List 1 Accent 1"/>
    <w:basedOn w:val="16"/>
    <w:uiPriority w:val="65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98">
    <w:name w:val="Medium List 1 Accent 2"/>
    <w:basedOn w:val="16"/>
    <w:uiPriority w:val="65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99">
    <w:name w:val="Medium List 1 Accent 3"/>
    <w:basedOn w:val="16"/>
    <w:uiPriority w:val="65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00">
    <w:name w:val="Medium List 1 Accent 4"/>
    <w:basedOn w:val="16"/>
    <w:uiPriority w:val="65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01">
    <w:name w:val="Medium List 1 Accent 5"/>
    <w:basedOn w:val="16"/>
    <w:uiPriority w:val="65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02">
    <w:name w:val="Medium List 1 Accent 6"/>
    <w:basedOn w:val="16"/>
    <w:uiPriority w:val="65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03">
    <w:name w:val="Medium List 2"/>
    <w:basedOn w:val="16"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4">
    <w:name w:val="Medium List 2 Accent 1"/>
    <w:basedOn w:val="16"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5">
    <w:name w:val="Medium List 2 Accent 2"/>
    <w:basedOn w:val="16"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6">
    <w:name w:val="Medium List 2 Accent 3"/>
    <w:basedOn w:val="16"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7">
    <w:name w:val="Medium List 2 Accent 4"/>
    <w:basedOn w:val="16"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8">
    <w:name w:val="Medium List 2 Accent 5"/>
    <w:basedOn w:val="16"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09">
    <w:name w:val="Medium List 2 Accent 6"/>
    <w:basedOn w:val="16"/>
    <w:uiPriority w:val="66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10">
    <w:name w:val="Medium Grid 1"/>
    <w:basedOn w:val="16"/>
    <w:uiPriority w:val="67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11">
    <w:name w:val="Medium Grid 1 Accent 1"/>
    <w:basedOn w:val="16"/>
    <w:uiPriority w:val="67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12">
    <w:name w:val="Medium Grid 1 Accent 2"/>
    <w:basedOn w:val="16"/>
    <w:uiPriority w:val="67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13">
    <w:name w:val="Medium Grid 1 Accent 3"/>
    <w:basedOn w:val="16"/>
    <w:uiPriority w:val="67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14">
    <w:name w:val="Medium Grid 1 Accent 4"/>
    <w:basedOn w:val="16"/>
    <w:uiPriority w:val="67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15">
    <w:name w:val="Medium Grid 1 Accent 5"/>
    <w:basedOn w:val="16"/>
    <w:uiPriority w:val="67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16">
    <w:name w:val="Medium Grid 1 Accent 6"/>
    <w:basedOn w:val="16"/>
    <w:uiPriority w:val="67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17">
    <w:name w:val="Medium Grid 2"/>
    <w:basedOn w:val="16"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118">
    <w:name w:val="Medium Grid 2 Accent 1"/>
    <w:basedOn w:val="16"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119">
    <w:name w:val="Medium Grid 2 Accent 2"/>
    <w:basedOn w:val="16"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120">
    <w:name w:val="Medium Grid 2 Accent 3"/>
    <w:basedOn w:val="16"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121">
    <w:name w:val="Medium Grid 2 Accent 4"/>
    <w:basedOn w:val="16"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122">
    <w:name w:val="Medium Grid 2 Accent 5"/>
    <w:basedOn w:val="16"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123">
    <w:name w:val="Medium Grid 2 Accent 6"/>
    <w:basedOn w:val="16"/>
    <w:uiPriority w:val="68"/>
    <w:pPr>
      <w:spacing w:line="1" w:lineRule="exact"/>
    </w:pPr>
    <w:rPr>
      <w:rFonts w:ascii="GWZT-EN" w:hAnsi="Symbol" w:eastAsia="黑体" w:cs="Times New Roman"/>
      <w:color w:val="000000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124">
    <w:name w:val="Medium Grid 3"/>
    <w:basedOn w:val="16"/>
    <w:uiPriority w:val="69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25">
    <w:name w:val="Medium Grid 3 Accent 1"/>
    <w:basedOn w:val="16"/>
    <w:uiPriority w:val="69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26">
    <w:name w:val="Medium Grid 3 Accent 2"/>
    <w:basedOn w:val="16"/>
    <w:uiPriority w:val="69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27">
    <w:name w:val="Medium Grid 3 Accent 3"/>
    <w:basedOn w:val="16"/>
    <w:uiPriority w:val="69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28">
    <w:name w:val="Medium Grid 3 Accent 4"/>
    <w:basedOn w:val="16"/>
    <w:uiPriority w:val="69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29">
    <w:name w:val="Medium Grid 3 Accent 5"/>
    <w:basedOn w:val="16"/>
    <w:uiPriority w:val="69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30">
    <w:name w:val="Medium Grid 3 Accent 6"/>
    <w:basedOn w:val="16"/>
    <w:uiPriority w:val="69"/>
    <w:pPr>
      <w:spacing w:line="1" w:lineRule="exact"/>
    </w:pPr>
    <w:rPr>
      <w:rFonts w:ascii="GWZT-EN"/>
    </w:rPr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131">
    <w:name w:val="Dark List"/>
    <w:basedOn w:val="16"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132">
    <w:name w:val="Dark List Accent 1"/>
    <w:basedOn w:val="16"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133">
    <w:name w:val="Dark List Accent 2"/>
    <w:basedOn w:val="16"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134">
    <w:name w:val="Dark List Accent 3"/>
    <w:basedOn w:val="16"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135">
    <w:name w:val="Dark List Accent 4"/>
    <w:basedOn w:val="16"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136">
    <w:name w:val="Dark List Accent 5"/>
    <w:basedOn w:val="16"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137">
    <w:name w:val="Dark List Accent 6"/>
    <w:basedOn w:val="16"/>
    <w:uiPriority w:val="70"/>
    <w:pPr>
      <w:spacing w:line="1" w:lineRule="exact"/>
    </w:pPr>
    <w:rPr>
      <w:rFonts w:ascii="GWZT-EN"/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138">
    <w:name w:val="Colorful Shading"/>
    <w:basedOn w:val="16"/>
    <w:uiPriority w:val="71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9">
    <w:name w:val="Colorful Shading Accent 1"/>
    <w:basedOn w:val="16"/>
    <w:uiPriority w:val="71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0">
    <w:name w:val="Colorful Shading Accent 2"/>
    <w:basedOn w:val="16"/>
    <w:uiPriority w:val="71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1">
    <w:name w:val="Colorful Shading Accent 3"/>
    <w:basedOn w:val="16"/>
    <w:uiPriority w:val="71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42">
    <w:name w:val="Colorful Shading Accent 4"/>
    <w:basedOn w:val="16"/>
    <w:uiPriority w:val="71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3">
    <w:name w:val="Colorful Shading Accent 5"/>
    <w:basedOn w:val="16"/>
    <w:uiPriority w:val="71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4">
    <w:name w:val="Colorful Shading Accent 6"/>
    <w:basedOn w:val="16"/>
    <w:uiPriority w:val="71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45">
    <w:name w:val="Colorful List"/>
    <w:basedOn w:val="16"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146">
    <w:name w:val="Colorful List Accent 1"/>
    <w:basedOn w:val="16"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47">
    <w:name w:val="Colorful List Accent 2"/>
    <w:basedOn w:val="16"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48">
    <w:name w:val="Colorful List Accent 3"/>
    <w:basedOn w:val="16"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49">
    <w:name w:val="Colorful List Accent 4"/>
    <w:basedOn w:val="16"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50">
    <w:name w:val="Colorful List Accent 5"/>
    <w:basedOn w:val="16"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51">
    <w:name w:val="Colorful List Accent 6"/>
    <w:basedOn w:val="16"/>
    <w:uiPriority w:val="72"/>
    <w:pPr>
      <w:spacing w:line="1" w:lineRule="exact"/>
    </w:pPr>
    <w:rPr>
      <w:rFonts w:ascii="GWZT-EN"/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152">
    <w:name w:val="Colorful Grid"/>
    <w:basedOn w:val="16"/>
    <w:uiPriority w:val="73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53">
    <w:name w:val="Colorful Grid Accent 1"/>
    <w:basedOn w:val="16"/>
    <w:uiPriority w:val="73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54">
    <w:name w:val="Colorful Grid Accent 2"/>
    <w:basedOn w:val="16"/>
    <w:uiPriority w:val="73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55">
    <w:name w:val="Colorful Grid Accent 3"/>
    <w:basedOn w:val="16"/>
    <w:uiPriority w:val="73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56">
    <w:name w:val="Colorful Grid Accent 4"/>
    <w:basedOn w:val="16"/>
    <w:uiPriority w:val="73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57">
    <w:name w:val="Colorful Grid Accent 5"/>
    <w:basedOn w:val="16"/>
    <w:uiPriority w:val="73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58">
    <w:name w:val="Colorful Grid Accent 6"/>
    <w:basedOn w:val="16"/>
    <w:uiPriority w:val="73"/>
    <w:pPr>
      <w:spacing w:line="1" w:lineRule="exact"/>
    </w:pPr>
    <w:rPr>
      <w:rFonts w:ascii="GWZT-EN"/>
      <w:color w:val="000000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160">
    <w:name w:val="Strong"/>
    <w:basedOn w:val="159"/>
    <w:qFormat/>
    <w:uiPriority w:val="0"/>
    <w:rPr>
      <w:rFonts w:ascii="GWZT-EN"/>
      <w:b/>
    </w:rPr>
  </w:style>
  <w:style w:type="character" w:styleId="161">
    <w:name w:val="endnote reference"/>
    <w:basedOn w:val="159"/>
    <w:uiPriority w:val="0"/>
    <w:rPr>
      <w:rFonts w:ascii="GWZT-EN"/>
      <w:vertAlign w:val="superscript"/>
    </w:rPr>
  </w:style>
  <w:style w:type="character" w:styleId="162">
    <w:name w:val="page number"/>
    <w:basedOn w:val="159"/>
    <w:uiPriority w:val="0"/>
    <w:rPr>
      <w:rFonts w:ascii="GWZT-EN"/>
    </w:rPr>
  </w:style>
  <w:style w:type="character" w:styleId="163">
    <w:name w:val="FollowedHyperlink"/>
    <w:basedOn w:val="159"/>
    <w:uiPriority w:val="0"/>
    <w:rPr>
      <w:rFonts w:ascii="GWZT-EN"/>
      <w:color w:val="800080"/>
      <w:u w:val="single"/>
    </w:rPr>
  </w:style>
  <w:style w:type="character" w:styleId="164">
    <w:name w:val="Emphasis"/>
    <w:basedOn w:val="159"/>
    <w:qFormat/>
    <w:uiPriority w:val="0"/>
    <w:rPr>
      <w:rFonts w:ascii="GWZT-EN"/>
      <w:i/>
    </w:rPr>
  </w:style>
  <w:style w:type="character" w:styleId="165">
    <w:name w:val="line number"/>
    <w:basedOn w:val="159"/>
    <w:uiPriority w:val="0"/>
    <w:rPr>
      <w:rFonts w:ascii="GWZT-EN"/>
    </w:rPr>
  </w:style>
  <w:style w:type="character" w:styleId="166">
    <w:name w:val="HTML Definition"/>
    <w:basedOn w:val="159"/>
    <w:uiPriority w:val="0"/>
    <w:rPr>
      <w:rFonts w:ascii="GWZT-EN"/>
      <w:i/>
    </w:rPr>
  </w:style>
  <w:style w:type="character" w:styleId="167">
    <w:name w:val="HTML Typewriter"/>
    <w:basedOn w:val="159"/>
    <w:uiPriority w:val="0"/>
    <w:rPr>
      <w:rFonts w:ascii="GWZT-EN" w:hAnsi="Courier New"/>
      <w:sz w:val="20"/>
    </w:rPr>
  </w:style>
  <w:style w:type="character" w:styleId="168">
    <w:name w:val="HTML Acronym"/>
    <w:basedOn w:val="159"/>
    <w:uiPriority w:val="0"/>
    <w:rPr>
      <w:rFonts w:ascii="GWZT-EN"/>
    </w:rPr>
  </w:style>
  <w:style w:type="character" w:styleId="169">
    <w:name w:val="HTML Variable"/>
    <w:basedOn w:val="159"/>
    <w:uiPriority w:val="0"/>
    <w:rPr>
      <w:rFonts w:ascii="GWZT-EN"/>
      <w:i/>
    </w:rPr>
  </w:style>
  <w:style w:type="character" w:styleId="170">
    <w:name w:val="Hyperlink"/>
    <w:basedOn w:val="159"/>
    <w:uiPriority w:val="0"/>
    <w:rPr>
      <w:rFonts w:ascii="GWZT-EN"/>
      <w:color w:val="0000FF"/>
      <w:u w:val="single"/>
    </w:rPr>
  </w:style>
  <w:style w:type="character" w:styleId="171">
    <w:name w:val="HTML Code"/>
    <w:basedOn w:val="159"/>
    <w:uiPriority w:val="0"/>
    <w:rPr>
      <w:rFonts w:ascii="GWZT-EN" w:hAnsi="Courier New"/>
      <w:sz w:val="20"/>
    </w:rPr>
  </w:style>
  <w:style w:type="character" w:styleId="172">
    <w:name w:val="annotation reference"/>
    <w:basedOn w:val="159"/>
    <w:uiPriority w:val="0"/>
    <w:rPr>
      <w:rFonts w:ascii="GWZT-EN"/>
      <w:sz w:val="21"/>
    </w:rPr>
  </w:style>
  <w:style w:type="character" w:styleId="173">
    <w:name w:val="HTML Cite"/>
    <w:basedOn w:val="159"/>
    <w:uiPriority w:val="0"/>
    <w:rPr>
      <w:rFonts w:ascii="GWZT-EN"/>
      <w:i/>
    </w:rPr>
  </w:style>
  <w:style w:type="character" w:styleId="174">
    <w:name w:val="footnote reference"/>
    <w:basedOn w:val="159"/>
    <w:uiPriority w:val="0"/>
    <w:rPr>
      <w:rFonts w:ascii="GWZT-EN"/>
      <w:vertAlign w:val="superscript"/>
    </w:rPr>
  </w:style>
  <w:style w:type="character" w:styleId="175">
    <w:name w:val="HTML Keyboard"/>
    <w:basedOn w:val="159"/>
    <w:uiPriority w:val="0"/>
    <w:rPr>
      <w:rFonts w:ascii="GWZT-EN" w:hAnsi="Courier New"/>
      <w:sz w:val="20"/>
    </w:rPr>
  </w:style>
  <w:style w:type="character" w:styleId="176">
    <w:name w:val="HTML Sample"/>
    <w:basedOn w:val="159"/>
    <w:uiPriority w:val="0"/>
    <w:rPr>
      <w:rFonts w:ascii="GWZT-EN" w:hAnsi="Courier New"/>
    </w:rPr>
  </w:style>
  <w:style w:type="character" w:customStyle="1" w:styleId="177">
    <w:name w:val="标题 2 Char"/>
    <w:link w:val="3"/>
    <w:uiPriority w:val="0"/>
    <w:rPr>
      <w:rFonts w:ascii="GWZT-EN" w:hAnsi="Times New Roman" w:eastAsia="楷体" w:cs="楷体"/>
      <w:sz w:val="32"/>
      <w:szCs w:val="32"/>
    </w:rPr>
  </w:style>
  <w:style w:type="character" w:customStyle="1" w:styleId="178">
    <w:name w:val="正文文本 Char"/>
    <w:link w:val="11"/>
    <w:qFormat/>
    <w:uiPriority w:val="0"/>
    <w:rPr>
      <w:rFonts w:ascii="GWZT-EN" w:hAnsi="Times New Roman" w:eastAsia="仿宋" w:cs="仿宋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1377</Words>
  <Characters>1401</Characters>
  <Lines>0</Lines>
  <Paragraphs>0</Paragraphs>
  <TotalTime>13</TotalTime>
  <ScaleCrop>false</ScaleCrop>
  <LinksUpToDate>false</LinksUpToDate>
  <CharactersWithSpaces>1401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2025-01-24T03:24:00Z</dcterms:created>
  <dc:creator>douniwan</dc:creator>
  <cp:lastModifiedBy>刘宏伟</cp:lastModifiedBy>
  <dcterms:modified xsi:type="dcterms:W3CDTF">2026-09-28T03:11:15Z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C0D6A57A06234963981820CD93A69423_12</vt:lpwstr>
  </property>
  <property fmtid="{D5CDD505-2E9C-101B-9397-08002B2CF9AE}" pid="4" name="KSOTemplateDocerSaveRecord">
    <vt:lpwstr>eyJoZGlkIjoiZmFmZDI4ZGRlZWU3OWE0OGY5M2Q1ZjRiY2NlOWI4NzEiLCJ1c2VySWQiOiIxNzg1MDkyMTIzIn0=</vt:lpwstr>
  </property>
</Properties>
</file>