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F2407">
      <w:pPr>
        <w:pStyle w:val="20"/>
        <w:rPr>
          <w:b/>
          <w:bCs/>
          <w:sz w:val="72"/>
          <w:szCs w:val="144"/>
        </w:rPr>
      </w:pPr>
    </w:p>
    <w:p w14:paraId="2193F328">
      <w:pPr>
        <w:jc w:val="center"/>
        <w:rPr>
          <w:rFonts w:hint="eastAsia" w:ascii="微软雅黑" w:hAnsi="微软雅黑" w:eastAsia="微软雅黑" w:cs="微软雅黑"/>
          <w:sz w:val="72"/>
          <w:szCs w:val="72"/>
          <w:lang w:val="en-US" w:eastAsia="zh-CN"/>
        </w:rPr>
      </w:pPr>
      <w:r>
        <w:rPr>
          <w:rFonts w:hint="eastAsia" w:ascii="微软雅黑" w:hAnsi="微软雅黑" w:eastAsia="微软雅黑" w:cs="微软雅黑"/>
          <w:b/>
          <w:bCs/>
          <w:sz w:val="72"/>
          <w:szCs w:val="72"/>
          <w:lang w:val="en-US" w:eastAsia="zh-CN"/>
        </w:rPr>
        <w:t>采购需求文件</w:t>
      </w:r>
    </w:p>
    <w:p w14:paraId="2E4FE057"/>
    <w:p w14:paraId="119F580C">
      <w:pPr>
        <w:pStyle w:val="12"/>
        <w:spacing w:before="120" w:line="298" w:lineRule="auto"/>
        <w:jc w:val="both"/>
        <w:rPr>
          <w:rFonts w:hint="default" w:ascii="微软雅黑" w:hAnsi="微软雅黑" w:eastAsia="微软雅黑" w:cs="微软雅黑"/>
          <w:b/>
          <w:bCs/>
          <w:spacing w:val="3"/>
          <w:position w:val="-1"/>
          <w:sz w:val="28"/>
          <w:szCs w:val="28"/>
          <w:lang w:val="en-US" w:eastAsia="zh-CN"/>
        </w:rPr>
      </w:pPr>
      <w:r>
        <w:rPr>
          <w:rFonts w:hint="eastAsia" w:ascii="微软雅黑" w:hAnsi="微软雅黑" w:eastAsia="微软雅黑" w:cs="微软雅黑"/>
          <w:b/>
          <w:bCs/>
          <w:spacing w:val="3"/>
          <w:position w:val="-1"/>
          <w:sz w:val="28"/>
          <w:szCs w:val="28"/>
          <w:lang w:val="en-US" w:eastAsia="zh-CN"/>
        </w:rPr>
        <w:t xml:space="preserve">                     </w:t>
      </w:r>
    </w:p>
    <w:p w14:paraId="4A007372">
      <w:pPr>
        <w:pStyle w:val="12"/>
        <w:spacing w:before="120" w:line="298" w:lineRule="auto"/>
        <w:jc w:val="both"/>
        <w:rPr>
          <w:rFonts w:hint="eastAsia" w:ascii="微软雅黑" w:hAnsi="微软雅黑" w:eastAsia="微软雅黑" w:cs="微软雅黑"/>
          <w:b/>
          <w:bCs/>
          <w:spacing w:val="3"/>
          <w:position w:val="-1"/>
          <w:sz w:val="28"/>
          <w:szCs w:val="28"/>
          <w:lang w:val="en-US" w:eastAsia="zh-CN"/>
        </w:rPr>
      </w:pPr>
    </w:p>
    <w:p w14:paraId="261D3C37">
      <w:pPr>
        <w:pStyle w:val="12"/>
        <w:spacing w:before="120" w:line="298" w:lineRule="auto"/>
        <w:ind w:left="0" w:leftChars="0" w:firstLine="417" w:firstLineChars="128"/>
        <w:jc w:val="both"/>
        <w:rPr>
          <w:rFonts w:hint="eastAsia" w:ascii="微软雅黑" w:hAnsi="微软雅黑" w:eastAsia="微软雅黑" w:cs="微软雅黑"/>
          <w:sz w:val="32"/>
          <w:szCs w:val="32"/>
        </w:rPr>
      </w:pPr>
      <w:r>
        <w:rPr>
          <w:rFonts w:hint="eastAsia" w:ascii="微软雅黑" w:hAnsi="微软雅黑" w:eastAsia="微软雅黑" w:cs="微软雅黑"/>
          <w:b/>
          <w:bCs/>
          <w:spacing w:val="3"/>
          <w:position w:val="-1"/>
          <w:sz w:val="32"/>
          <w:szCs w:val="32"/>
          <w:lang w:val="en-US" w:eastAsia="zh-CN"/>
        </w:rPr>
        <w:t>调查</w:t>
      </w:r>
      <w:r>
        <w:rPr>
          <w:rFonts w:hint="eastAsia" w:ascii="微软雅黑" w:hAnsi="微软雅黑" w:eastAsia="微软雅黑" w:cs="微软雅黑"/>
          <w:b/>
          <w:bCs/>
          <w:spacing w:val="3"/>
          <w:position w:val="-1"/>
          <w:sz w:val="32"/>
          <w:szCs w:val="32"/>
        </w:rPr>
        <w:t>方式</w:t>
      </w:r>
      <w:r>
        <w:rPr>
          <w:rFonts w:hint="eastAsia" w:ascii="微软雅黑" w:hAnsi="微软雅黑" w:eastAsia="微软雅黑" w:cs="微软雅黑"/>
          <w:b/>
          <w:bCs/>
          <w:spacing w:val="-8"/>
          <w:position w:val="-1"/>
          <w:sz w:val="32"/>
          <w:szCs w:val="32"/>
        </w:rPr>
        <w:t xml:space="preserve"> </w:t>
      </w:r>
      <w:r>
        <w:rPr>
          <w:rFonts w:hint="eastAsia" w:ascii="微软雅黑" w:hAnsi="微软雅黑" w:eastAsia="微软雅黑" w:cs="微软雅黑"/>
          <w:b/>
          <w:bCs/>
          <w:spacing w:val="-8"/>
          <w:position w:val="-1"/>
          <w:sz w:val="32"/>
          <w:szCs w:val="32"/>
          <w:lang w:eastAsia="zh-CN"/>
        </w:rPr>
        <w:t>：</w:t>
      </w:r>
      <w:r>
        <w:rPr>
          <w:rFonts w:hint="eastAsia" w:ascii="微软雅黑" w:hAnsi="微软雅黑" w:eastAsia="微软雅黑" w:cs="微软雅黑"/>
          <w:b/>
          <w:bCs/>
          <w:spacing w:val="-8"/>
          <w:position w:val="-1"/>
          <w:sz w:val="32"/>
          <w:szCs w:val="32"/>
          <w:lang w:val="en-US" w:eastAsia="zh-CN"/>
        </w:rPr>
        <w:t xml:space="preserve">  </w:t>
      </w:r>
      <w:r>
        <w:rPr>
          <w:rFonts w:hint="eastAsia" w:ascii="微软雅黑" w:hAnsi="微软雅黑" w:eastAsia="微软雅黑" w:cs="微软雅黑"/>
          <w:spacing w:val="-59"/>
          <w:sz w:val="32"/>
          <w:szCs w:val="32"/>
        </w:rPr>
        <w:t xml:space="preserve"> </w:t>
      </w:r>
      <w:r>
        <w:rPr>
          <w:rFonts w:hint="eastAsia" w:ascii="微软雅黑" w:hAnsi="微软雅黑" w:eastAsia="微软雅黑" w:cs="微软雅黑"/>
          <w:b/>
          <w:bCs/>
          <w:spacing w:val="3"/>
          <w:sz w:val="32"/>
          <w:szCs w:val="32"/>
          <w:lang w:eastAsia="zh-CN"/>
        </w:rPr>
        <w:t>□</w:t>
      </w:r>
      <w:r>
        <w:rPr>
          <w:rFonts w:hint="eastAsia" w:ascii="微软雅黑" w:hAnsi="微软雅黑" w:eastAsia="微软雅黑" w:cs="微软雅黑"/>
          <w:b/>
          <w:bCs/>
          <w:spacing w:val="3"/>
          <w:sz w:val="32"/>
          <w:szCs w:val="32"/>
          <w:lang w:val="en-US" w:eastAsia="zh-CN"/>
        </w:rPr>
        <w:t>咨询</w:t>
      </w:r>
      <w:r>
        <w:rPr>
          <w:rFonts w:hint="eastAsia" w:ascii="微软雅黑" w:hAnsi="微软雅黑" w:eastAsia="微软雅黑" w:cs="微软雅黑"/>
          <w:b/>
          <w:bCs/>
          <w:spacing w:val="3"/>
          <w:sz w:val="32"/>
          <w:szCs w:val="32"/>
        </w:rPr>
        <w:t>；</w:t>
      </w:r>
      <w:r>
        <w:rPr>
          <w:rFonts w:hint="eastAsia" w:ascii="微软雅黑" w:hAnsi="微软雅黑" w:eastAsia="微软雅黑" w:cs="微软雅黑"/>
          <w:spacing w:val="-58"/>
          <w:sz w:val="32"/>
          <w:szCs w:val="32"/>
        </w:rPr>
        <w:t xml:space="preserve"> </w:t>
      </w:r>
      <w:r>
        <w:rPr>
          <w:rFonts w:hint="eastAsia" w:ascii="微软雅黑" w:hAnsi="微软雅黑" w:eastAsia="微软雅黑" w:cs="微软雅黑"/>
          <w:b/>
          <w:bCs/>
          <w:spacing w:val="3"/>
          <w:sz w:val="32"/>
          <w:szCs w:val="32"/>
          <w:lang w:eastAsia="zh-CN"/>
        </w:rPr>
        <w:t>□</w:t>
      </w:r>
      <w:r>
        <w:rPr>
          <w:rFonts w:hint="eastAsia" w:ascii="微软雅黑" w:hAnsi="微软雅黑" w:eastAsia="微软雅黑" w:cs="微软雅黑"/>
          <w:b/>
          <w:bCs/>
          <w:spacing w:val="3"/>
          <w:sz w:val="32"/>
          <w:szCs w:val="32"/>
          <w:lang w:val="en-US" w:eastAsia="zh-CN"/>
        </w:rPr>
        <w:t>论证</w:t>
      </w:r>
      <w:r>
        <w:rPr>
          <w:rFonts w:hint="eastAsia" w:ascii="微软雅黑" w:hAnsi="微软雅黑" w:eastAsia="微软雅黑" w:cs="微软雅黑"/>
          <w:b/>
          <w:bCs/>
          <w:spacing w:val="3"/>
          <w:sz w:val="32"/>
          <w:szCs w:val="32"/>
        </w:rPr>
        <w:t>；</w:t>
      </w:r>
      <w:r>
        <w:rPr>
          <w:rFonts w:hint="eastAsia" w:ascii="微软雅黑" w:hAnsi="微软雅黑" w:eastAsia="微软雅黑" w:cs="微软雅黑"/>
          <w:spacing w:val="-59"/>
          <w:sz w:val="32"/>
          <w:szCs w:val="32"/>
        </w:rPr>
        <w:t xml:space="preserve"> </w:t>
      </w:r>
      <w:r>
        <w:rPr>
          <w:rFonts w:hint="eastAsia" w:ascii="微软雅黑" w:hAnsi="微软雅黑" w:eastAsia="微软雅黑" w:cs="微软雅黑"/>
          <w:b/>
          <w:bCs/>
          <w:spacing w:val="3"/>
          <w:sz w:val="32"/>
          <w:szCs w:val="32"/>
          <w:lang w:eastAsia="zh-CN"/>
        </w:rPr>
        <w:t>☑</w:t>
      </w:r>
      <w:r>
        <w:rPr>
          <w:rFonts w:hint="eastAsia" w:ascii="微软雅黑" w:hAnsi="微软雅黑" w:eastAsia="微软雅黑" w:cs="微软雅黑"/>
          <w:b/>
          <w:bCs/>
          <w:spacing w:val="3"/>
          <w:sz w:val="32"/>
          <w:szCs w:val="32"/>
          <w:lang w:val="en-US" w:eastAsia="zh-CN"/>
        </w:rPr>
        <w:t>市场征集</w:t>
      </w:r>
      <w:r>
        <w:rPr>
          <w:rFonts w:hint="eastAsia" w:ascii="微软雅黑" w:hAnsi="微软雅黑" w:eastAsia="微软雅黑" w:cs="微软雅黑"/>
          <w:b/>
          <w:bCs/>
          <w:spacing w:val="3"/>
          <w:sz w:val="32"/>
          <w:szCs w:val="32"/>
        </w:rPr>
        <w:t>；</w:t>
      </w:r>
      <w:r>
        <w:rPr>
          <w:rFonts w:hint="eastAsia" w:ascii="微软雅黑" w:hAnsi="微软雅黑" w:eastAsia="微软雅黑" w:cs="微软雅黑"/>
          <w:spacing w:val="3"/>
          <w:sz w:val="32"/>
          <w:szCs w:val="32"/>
        </w:rPr>
        <w:t xml:space="preserve"> </w:t>
      </w:r>
      <w:r>
        <w:rPr>
          <w:rFonts w:hint="eastAsia" w:ascii="微软雅黑" w:hAnsi="微软雅黑" w:eastAsia="微软雅黑" w:cs="微软雅黑"/>
          <w:b/>
          <w:bCs/>
          <w:sz w:val="32"/>
          <w:szCs w:val="32"/>
        </w:rPr>
        <w:t>□其他：</w:t>
      </w:r>
    </w:p>
    <w:p w14:paraId="1E3A5AF4">
      <w:pPr>
        <w:pStyle w:val="12"/>
        <w:spacing w:before="88" w:line="183" w:lineRule="auto"/>
        <w:jc w:val="both"/>
        <w:rPr>
          <w:rFonts w:hint="eastAsia" w:ascii="微软雅黑" w:hAnsi="微软雅黑" w:eastAsia="微软雅黑" w:cs="微软雅黑"/>
          <w:b/>
          <w:bCs/>
          <w:position w:val="-1"/>
          <w:sz w:val="32"/>
          <w:szCs w:val="32"/>
        </w:rPr>
      </w:pPr>
    </w:p>
    <w:p w14:paraId="4A98CA67">
      <w:pPr>
        <w:pStyle w:val="12"/>
        <w:spacing w:before="88" w:line="183" w:lineRule="auto"/>
        <w:ind w:left="0" w:leftChars="0" w:firstLine="419" w:firstLineChars="131"/>
        <w:jc w:val="both"/>
        <w:rPr>
          <w:rFonts w:hint="eastAsia" w:ascii="微软雅黑" w:hAnsi="微软雅黑" w:eastAsia="微软雅黑" w:cs="微软雅黑"/>
          <w:sz w:val="32"/>
          <w:szCs w:val="32"/>
        </w:rPr>
      </w:pPr>
      <w:r>
        <w:rPr>
          <w:rFonts w:hint="eastAsia" w:ascii="微软雅黑" w:hAnsi="微软雅黑" w:eastAsia="微软雅黑" w:cs="微软雅黑"/>
          <w:b/>
          <w:bCs/>
          <w:position w:val="-1"/>
          <w:sz w:val="32"/>
          <w:szCs w:val="32"/>
        </w:rPr>
        <w:t xml:space="preserve">项目类型 </w:t>
      </w:r>
      <w:r>
        <w:rPr>
          <w:rFonts w:hint="eastAsia" w:ascii="微软雅黑" w:hAnsi="微软雅黑" w:eastAsia="微软雅黑" w:cs="微软雅黑"/>
          <w:b/>
          <w:bCs/>
          <w:position w:val="-1"/>
          <w:sz w:val="32"/>
          <w:szCs w:val="32"/>
          <w:lang w:eastAsia="zh-CN"/>
        </w:rPr>
        <w:t>：</w:t>
      </w:r>
      <w:r>
        <w:rPr>
          <w:rFonts w:hint="eastAsia" w:ascii="微软雅黑" w:hAnsi="微软雅黑" w:eastAsia="微软雅黑" w:cs="微软雅黑"/>
          <w:b/>
          <w:bCs/>
          <w:position w:val="-1"/>
          <w:sz w:val="32"/>
          <w:szCs w:val="32"/>
          <w:lang w:val="en-US" w:eastAsia="zh-CN"/>
        </w:rPr>
        <w:t xml:space="preserve">  </w:t>
      </w:r>
      <w:r>
        <w:rPr>
          <w:rFonts w:hint="eastAsia" w:ascii="微软雅黑" w:hAnsi="微软雅黑" w:eastAsia="微软雅黑" w:cs="微软雅黑"/>
          <w:b/>
          <w:bCs/>
          <w:sz w:val="32"/>
          <w:szCs w:val="32"/>
          <w:lang w:eastAsia="zh-CN"/>
        </w:rPr>
        <w:t>□</w:t>
      </w:r>
      <w:r>
        <w:rPr>
          <w:rFonts w:hint="eastAsia" w:ascii="微软雅黑" w:hAnsi="微软雅黑" w:eastAsia="微软雅黑" w:cs="微软雅黑"/>
          <w:b/>
          <w:bCs/>
          <w:sz w:val="32"/>
          <w:szCs w:val="32"/>
        </w:rPr>
        <w:t>工程；</w:t>
      </w:r>
      <w:r>
        <w:rPr>
          <w:rFonts w:hint="eastAsia" w:ascii="微软雅黑" w:hAnsi="微软雅黑" w:eastAsia="微软雅黑" w:cs="微软雅黑"/>
          <w:spacing w:val="-58"/>
          <w:sz w:val="32"/>
          <w:szCs w:val="32"/>
        </w:rPr>
        <w:t xml:space="preserve"> </w:t>
      </w:r>
      <w:r>
        <w:rPr>
          <w:rFonts w:hint="eastAsia" w:ascii="微软雅黑" w:hAnsi="微软雅黑" w:eastAsia="微软雅黑" w:cs="微软雅黑"/>
          <w:b/>
          <w:bCs/>
          <w:sz w:val="32"/>
          <w:szCs w:val="32"/>
        </w:rPr>
        <w:t>□货物；</w:t>
      </w:r>
      <w:r>
        <w:rPr>
          <w:rFonts w:hint="eastAsia" w:ascii="微软雅黑" w:hAnsi="微软雅黑" w:eastAsia="微软雅黑" w:cs="微软雅黑"/>
          <w:spacing w:val="-66"/>
          <w:sz w:val="32"/>
          <w:szCs w:val="32"/>
        </w:rPr>
        <w:t xml:space="preserve"> </w:t>
      </w:r>
      <w:r>
        <w:rPr>
          <w:rFonts w:hint="eastAsia" w:ascii="微软雅黑" w:hAnsi="微软雅黑" w:eastAsia="微软雅黑" w:cs="微软雅黑"/>
          <w:spacing w:val="-68"/>
          <w:sz w:val="32"/>
          <w:szCs w:val="32"/>
        </w:rPr>
        <w:t xml:space="preserve"> </w:t>
      </w:r>
      <w:r>
        <w:rPr>
          <w:rFonts w:hint="eastAsia" w:ascii="微软雅黑" w:hAnsi="微软雅黑" w:eastAsia="微软雅黑" w:cs="微软雅黑"/>
          <w:b/>
          <w:bCs/>
          <w:sz w:val="32"/>
          <w:szCs w:val="32"/>
          <w:lang w:eastAsia="zh-CN"/>
        </w:rPr>
        <w:t>☑</w:t>
      </w:r>
      <w:r>
        <w:rPr>
          <w:rFonts w:hint="eastAsia" w:ascii="微软雅黑" w:hAnsi="微软雅黑" w:eastAsia="微软雅黑" w:cs="微软雅黑"/>
          <w:b/>
          <w:bCs/>
          <w:sz w:val="32"/>
          <w:szCs w:val="32"/>
        </w:rPr>
        <w:t>服务；</w:t>
      </w:r>
      <w:r>
        <w:rPr>
          <w:rFonts w:hint="eastAsia" w:ascii="微软雅黑" w:hAnsi="微软雅黑" w:eastAsia="微软雅黑" w:cs="微软雅黑"/>
          <w:spacing w:val="-68"/>
          <w:sz w:val="32"/>
          <w:szCs w:val="32"/>
        </w:rPr>
        <w:t xml:space="preserve"> </w:t>
      </w:r>
      <w:r>
        <w:rPr>
          <w:rFonts w:hint="eastAsia" w:ascii="微软雅黑" w:hAnsi="微软雅黑" w:eastAsia="微软雅黑" w:cs="微软雅黑"/>
          <w:b/>
          <w:bCs/>
          <w:sz w:val="32"/>
          <w:szCs w:val="32"/>
        </w:rPr>
        <w:t>□其他：</w:t>
      </w:r>
    </w:p>
    <w:p w14:paraId="4180C65B">
      <w:pPr>
        <w:pStyle w:val="12"/>
        <w:spacing w:before="261" w:line="184" w:lineRule="auto"/>
        <w:ind w:left="40"/>
        <w:rPr>
          <w:rFonts w:hint="eastAsia" w:ascii="微软雅黑" w:hAnsi="微软雅黑" w:eastAsia="微软雅黑" w:cs="微软雅黑"/>
          <w:b/>
          <w:bCs/>
          <w:spacing w:val="-2"/>
          <w:sz w:val="32"/>
          <w:szCs w:val="32"/>
        </w:rPr>
      </w:pPr>
    </w:p>
    <w:p w14:paraId="55BB4694">
      <w:pPr>
        <w:pStyle w:val="12"/>
        <w:spacing w:before="261" w:line="184" w:lineRule="auto"/>
        <w:ind w:left="40" w:leftChars="0" w:firstLine="379" w:firstLineChars="120"/>
        <w:rPr>
          <w:rFonts w:hint="eastAsia" w:ascii="微软雅黑" w:hAnsi="微软雅黑" w:eastAsia="微软雅黑" w:cs="微软雅黑"/>
          <w:sz w:val="32"/>
          <w:szCs w:val="32"/>
          <w:lang w:val="en-US" w:eastAsia="zh-CN"/>
        </w:rPr>
      </w:pPr>
      <w:r>
        <w:rPr>
          <w:rFonts w:hint="eastAsia" w:ascii="微软雅黑" w:hAnsi="微软雅黑" w:eastAsia="微软雅黑" w:cs="微软雅黑"/>
          <w:b/>
          <w:bCs/>
          <w:spacing w:val="-2"/>
          <w:sz w:val="32"/>
          <w:szCs w:val="32"/>
        </w:rPr>
        <w:t xml:space="preserve">需求部门 ：  </w:t>
      </w:r>
      <w:r>
        <w:rPr>
          <w:rFonts w:hint="eastAsia" w:ascii="微软雅黑" w:hAnsi="微软雅黑" w:eastAsia="微软雅黑" w:cs="微软雅黑"/>
          <w:b/>
          <w:bCs/>
          <w:spacing w:val="-2"/>
          <w:sz w:val="32"/>
          <w:szCs w:val="32"/>
          <w:lang w:eastAsia="zh-CN"/>
        </w:rPr>
        <w:t>信息技术科</w:t>
      </w:r>
    </w:p>
    <w:p w14:paraId="27AC8541">
      <w:pPr>
        <w:pStyle w:val="12"/>
        <w:spacing w:before="256" w:line="184" w:lineRule="auto"/>
        <w:ind w:left="37"/>
        <w:rPr>
          <w:rFonts w:hint="eastAsia" w:ascii="微软雅黑" w:hAnsi="微软雅黑" w:eastAsia="微软雅黑" w:cs="微软雅黑"/>
          <w:b/>
          <w:bCs/>
          <w:spacing w:val="-1"/>
          <w:sz w:val="32"/>
          <w:szCs w:val="32"/>
        </w:rPr>
      </w:pPr>
      <w:bookmarkStart w:id="0" w:name="_GoBack"/>
      <w:bookmarkEnd w:id="0"/>
    </w:p>
    <w:p w14:paraId="2D98FAC9">
      <w:pPr>
        <w:numPr>
          <w:ilvl w:val="0"/>
          <w:numId w:val="0"/>
        </w:numPr>
        <w:tabs>
          <w:tab w:val="left" w:pos="1045"/>
        </w:tabs>
        <w:ind w:left="0" w:leftChars="0" w:firstLine="420" w:firstLineChars="132"/>
        <w:jc w:val="left"/>
        <w:outlineLvl w:val="0"/>
        <w:rPr>
          <w:rFonts w:hint="eastAsia" w:eastAsia="微软雅黑" w:cstheme="minorBidi"/>
          <w:b/>
          <w:kern w:val="2"/>
          <w:sz w:val="28"/>
          <w:szCs w:val="28"/>
          <w:lang w:val="en-US" w:eastAsia="zh-CN" w:bidi="ar-SA"/>
        </w:rPr>
      </w:pPr>
      <w:r>
        <w:rPr>
          <w:rFonts w:hint="eastAsia" w:ascii="微软雅黑" w:hAnsi="微软雅黑" w:eastAsia="微软雅黑" w:cs="微软雅黑"/>
          <w:b/>
          <w:bCs/>
          <w:spacing w:val="-1"/>
          <w:sz w:val="32"/>
          <w:szCs w:val="32"/>
        </w:rPr>
        <w:t xml:space="preserve">项目名称 ： </w:t>
      </w:r>
      <w:r>
        <w:rPr>
          <w:rFonts w:hint="eastAsia" w:ascii="微软雅黑" w:hAnsi="微软雅黑" w:eastAsia="微软雅黑" w:cs="微软雅黑"/>
          <w:b/>
          <w:bCs/>
          <w:spacing w:val="-1"/>
          <w:sz w:val="32"/>
          <w:szCs w:val="32"/>
          <w:lang w:val="en-US" w:eastAsia="zh-CN"/>
        </w:rPr>
        <w:t xml:space="preserve"> </w:t>
      </w:r>
      <w:r>
        <w:rPr>
          <w:rFonts w:hint="eastAsia" w:ascii="微软雅黑" w:hAnsi="微软雅黑" w:eastAsia="微软雅黑" w:cs="微软雅黑"/>
          <w:b/>
          <w:bCs/>
          <w:spacing w:val="-1"/>
          <w:sz w:val="32"/>
          <w:szCs w:val="32"/>
          <w:lang w:eastAsia="zh-CN"/>
        </w:rPr>
        <w:t>网络安全运维服务</w:t>
      </w:r>
    </w:p>
    <w:p w14:paraId="63FF8BF2">
      <w:pPr>
        <w:spacing w:line="183" w:lineRule="auto"/>
        <w:rPr>
          <w:rFonts w:hint="eastAsia" w:ascii="微软雅黑" w:hAnsi="微软雅黑" w:eastAsia="微软雅黑" w:cs="微软雅黑"/>
          <w:sz w:val="28"/>
          <w:szCs w:val="28"/>
        </w:rPr>
        <w:sectPr>
          <w:pgSz w:w="11906" w:h="16839"/>
          <w:pgMar w:top="1431" w:right="1041" w:bottom="0" w:left="1785" w:header="0" w:footer="0" w:gutter="0"/>
          <w:cols w:space="720" w:num="1"/>
        </w:sectPr>
      </w:pPr>
    </w:p>
    <w:p w14:paraId="3794CB9B">
      <w:pPr>
        <w:pStyle w:val="88"/>
        <w:keepNext w:val="0"/>
        <w:keepLines w:val="0"/>
        <w:pageBreakBefore w:val="0"/>
        <w:numPr>
          <w:ilvl w:val="0"/>
          <w:numId w:val="0"/>
        </w:numPr>
        <w:kinsoku/>
        <w:wordWrap/>
        <w:overflowPunct/>
        <w:topLinePunct w:val="0"/>
        <w:autoSpaceDE/>
        <w:autoSpaceDN/>
        <w:bidi w:val="0"/>
        <w:adjustRightInd/>
        <w:snapToGrid/>
        <w:spacing w:before="0" w:line="240" w:lineRule="auto"/>
        <w:ind w:right="0" w:rightChars="0"/>
        <w:jc w:val="both"/>
        <w:textAlignment w:val="auto"/>
        <w:rPr>
          <w:rFonts w:hint="eastAsia" w:ascii="宋体" w:hAnsi="宋体" w:eastAsia="宋体" w:cs="宋体"/>
          <w:bCs/>
          <w:color w:val="000000"/>
          <w:sz w:val="28"/>
          <w:szCs w:val="28"/>
          <w:lang w:val="en-US" w:eastAsia="zh-CN"/>
        </w:rPr>
      </w:pPr>
      <w:r>
        <w:rPr>
          <w:rFonts w:hint="eastAsia" w:ascii="宋体" w:hAnsi="宋体" w:eastAsia="宋体" w:cs="宋体"/>
          <w:b/>
          <w:bCs/>
          <w:color w:val="000000"/>
          <w:sz w:val="28"/>
          <w:szCs w:val="28"/>
          <w:lang w:val="en-US" w:eastAsia="zh-CN"/>
        </w:rPr>
        <w:t>一、</w:t>
      </w:r>
      <w:r>
        <w:rPr>
          <w:rFonts w:hint="eastAsia" w:ascii="宋体" w:hAnsi="宋体" w:eastAsia="宋体" w:cs="宋体"/>
          <w:b/>
          <w:bCs/>
          <w:color w:val="auto"/>
          <w:spacing w:val="-5"/>
          <w:kern w:val="2"/>
          <w:sz w:val="28"/>
          <w:szCs w:val="28"/>
          <w:lang w:val="en-US" w:eastAsia="zh-CN" w:bidi="ar-SA"/>
        </w:rPr>
        <w:t>项目概述</w:t>
      </w:r>
    </w:p>
    <w:p w14:paraId="2C469DCB">
      <w:pPr>
        <w:keepNext w:val="0"/>
        <w:keepLines w:val="0"/>
        <w:widowControl/>
        <w:suppressLineNumbers w:val="0"/>
        <w:ind w:left="840" w:leftChars="400" w:firstLine="0" w:firstLineChars="0"/>
        <w:jc w:val="left"/>
        <w:rPr>
          <w:rFonts w:hint="eastAsia" w:asciiTheme="minorHAnsi" w:hAnsiTheme="minorHAnsi" w:eastAsiaTheme="minorEastAsia" w:cstheme="minorBidi"/>
          <w:b w:val="0"/>
          <w:color w:val="auto"/>
          <w:kern w:val="2"/>
          <w:sz w:val="28"/>
          <w:szCs w:val="28"/>
          <w:lang w:val="en-US" w:eastAsia="zh-CN" w:bidi="ar-SA"/>
        </w:rPr>
      </w:pPr>
      <w:r>
        <w:rPr>
          <w:rFonts w:hint="eastAsia" w:asciiTheme="minorHAnsi" w:hAnsiTheme="minorHAnsi" w:eastAsiaTheme="minorEastAsia" w:cstheme="minorBidi"/>
          <w:b w:val="0"/>
          <w:color w:val="auto"/>
          <w:kern w:val="2"/>
          <w:sz w:val="28"/>
          <w:szCs w:val="28"/>
          <w:lang w:val="en-US" w:eastAsia="zh-CN" w:bidi="ar-SA"/>
        </w:rPr>
        <w:t>项目名称：</w:t>
      </w:r>
      <w:r>
        <w:rPr>
          <w:rFonts w:hint="default" w:asciiTheme="minorHAnsi" w:hAnsiTheme="minorHAnsi" w:eastAsiaTheme="minorEastAsia" w:cstheme="minorBidi"/>
          <w:b w:val="0"/>
          <w:color w:val="auto"/>
          <w:kern w:val="2"/>
          <w:sz w:val="28"/>
          <w:szCs w:val="28"/>
          <w:lang w:val="en-US" w:eastAsia="zh-CN" w:bidi="ar-SA"/>
        </w:rPr>
        <w:t> </w:t>
      </w:r>
      <w:r>
        <w:rPr>
          <w:rFonts w:hint="eastAsia" w:cstheme="minorBidi"/>
          <w:b w:val="0"/>
          <w:color w:val="auto"/>
          <w:kern w:val="2"/>
          <w:sz w:val="28"/>
          <w:szCs w:val="28"/>
          <w:lang w:val="en-US" w:eastAsia="zh-CN" w:bidi="ar-SA"/>
        </w:rPr>
        <w:t>网络安全运维服务</w:t>
      </w:r>
    </w:p>
    <w:p w14:paraId="6FB21D02">
      <w:pPr>
        <w:keepNext w:val="0"/>
        <w:keepLines w:val="0"/>
        <w:widowControl/>
        <w:suppressLineNumbers w:val="0"/>
        <w:ind w:firstLine="840" w:firstLineChars="300"/>
        <w:jc w:val="left"/>
        <w:rPr>
          <w:rFonts w:hint="eastAsia" w:ascii="宋体" w:hAnsi="宋体" w:eastAsia="宋体" w:cs="Times New Roman"/>
          <w:b w:val="0"/>
          <w:bCs/>
          <w:color w:val="000000"/>
          <w:kern w:val="0"/>
          <w:sz w:val="28"/>
          <w:szCs w:val="28"/>
          <w:lang w:val="en-US" w:eastAsia="zh-CN"/>
        </w:rPr>
      </w:pPr>
      <w:r>
        <w:rPr>
          <w:rFonts w:hint="eastAsia" w:ascii="宋体" w:hAnsi="宋体" w:eastAsia="宋体" w:cs="Times New Roman"/>
          <w:b w:val="0"/>
          <w:bCs/>
          <w:color w:val="000000"/>
          <w:kern w:val="0"/>
          <w:sz w:val="28"/>
          <w:szCs w:val="28"/>
          <w:lang w:val="en-US" w:eastAsia="zh-CN"/>
        </w:rPr>
        <w:t>服务目标：保障信息系统持续稳定运行，提升整体网络安全防护能力，及时发现并处置潜在安全威胁，确保关键数据资产的完整性、保密性与可用性。</w:t>
      </w:r>
    </w:p>
    <w:p w14:paraId="5D17E1D4">
      <w:pPr>
        <w:keepNext w:val="0"/>
        <w:keepLines w:val="0"/>
        <w:widowControl/>
        <w:suppressLineNumbers w:val="0"/>
        <w:ind w:firstLine="840" w:firstLineChars="300"/>
        <w:jc w:val="left"/>
        <w:rPr>
          <w:rFonts w:hint="eastAsia" w:ascii="宋体" w:hAnsi="宋体" w:eastAsia="宋体" w:cs="Times New Roman"/>
          <w:b w:val="0"/>
          <w:bCs/>
          <w:color w:val="000000"/>
          <w:kern w:val="0"/>
          <w:sz w:val="28"/>
          <w:szCs w:val="28"/>
          <w:lang w:val="en-US" w:eastAsia="zh-CN"/>
        </w:rPr>
      </w:pPr>
      <w:r>
        <w:rPr>
          <w:rFonts w:hint="eastAsia" w:ascii="宋体" w:hAnsi="宋体" w:eastAsia="宋体" w:cs="Times New Roman"/>
          <w:b w:val="0"/>
          <w:bCs/>
          <w:color w:val="000000"/>
          <w:kern w:val="0"/>
          <w:sz w:val="28"/>
          <w:szCs w:val="28"/>
          <w:lang w:val="en-US" w:eastAsia="zh-CN"/>
        </w:rPr>
        <w:t>服务期限：1年</w:t>
      </w:r>
    </w:p>
    <w:p w14:paraId="6556DF5C">
      <w:pPr>
        <w:pStyle w:val="88"/>
        <w:keepNext w:val="0"/>
        <w:keepLines w:val="0"/>
        <w:pageBreakBefore w:val="0"/>
        <w:numPr>
          <w:ilvl w:val="0"/>
          <w:numId w:val="1"/>
        </w:numPr>
        <w:kinsoku/>
        <w:wordWrap/>
        <w:overflowPunct/>
        <w:topLinePunct w:val="0"/>
        <w:autoSpaceDE/>
        <w:autoSpaceDN/>
        <w:bidi w:val="0"/>
        <w:adjustRightInd/>
        <w:snapToGrid/>
        <w:spacing w:before="0" w:line="240" w:lineRule="auto"/>
        <w:ind w:left="140" w:leftChars="0" w:right="0" w:rightChars="0" w:firstLine="0" w:firstLineChars="0"/>
        <w:jc w:val="both"/>
        <w:textAlignment w:val="auto"/>
        <w:rPr>
          <w:rFonts w:hint="eastAsia" w:cs="Times New Roman"/>
          <w:b/>
          <w:bCs/>
          <w:color w:val="000000"/>
          <w:sz w:val="28"/>
          <w:szCs w:val="28"/>
          <w:lang w:val="en-US" w:eastAsia="zh-CN"/>
        </w:rPr>
      </w:pPr>
      <w:r>
        <w:rPr>
          <w:rFonts w:hint="eastAsia" w:cs="Times New Roman"/>
          <w:b/>
          <w:bCs/>
          <w:color w:val="000000"/>
          <w:sz w:val="28"/>
          <w:szCs w:val="28"/>
          <w:lang w:val="en-US" w:eastAsia="zh-CN"/>
        </w:rPr>
        <w:t>网络安全运维服务内容</w:t>
      </w:r>
    </w:p>
    <w:tbl>
      <w:tblPr>
        <w:tblStyle w:val="2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34"/>
        <w:gridCol w:w="6521"/>
        <w:gridCol w:w="1134"/>
      </w:tblGrid>
      <w:tr w14:paraId="1CC4E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blHeader/>
          <w:jc w:val="center"/>
        </w:trPr>
        <w:tc>
          <w:tcPr>
            <w:tcW w:w="675" w:type="dxa"/>
            <w:shd w:val="clear" w:color="auto" w:fill="auto"/>
            <w:noWrap/>
            <w:vAlign w:val="center"/>
          </w:tcPr>
          <w:p w14:paraId="26E8A116">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b/>
                <w:color w:val="auto"/>
                <w:sz w:val="22"/>
                <w:szCs w:val="22"/>
              </w:rPr>
            </w:pPr>
            <w:r>
              <w:rPr>
                <w:rFonts w:hint="eastAsia" w:ascii="宋体" w:hAnsi="宋体" w:eastAsia="宋体" w:cs="宋体"/>
                <w:b/>
                <w:color w:val="auto"/>
                <w:kern w:val="0"/>
                <w:sz w:val="22"/>
                <w:szCs w:val="22"/>
                <w:lang w:bidi="ar"/>
              </w:rPr>
              <w:t>序号</w:t>
            </w:r>
          </w:p>
        </w:tc>
        <w:tc>
          <w:tcPr>
            <w:tcW w:w="1134" w:type="dxa"/>
            <w:shd w:val="clear" w:color="auto" w:fill="auto"/>
            <w:noWrap/>
            <w:vAlign w:val="center"/>
          </w:tcPr>
          <w:p w14:paraId="568F757F">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b/>
                <w:color w:val="auto"/>
                <w:sz w:val="22"/>
                <w:szCs w:val="22"/>
              </w:rPr>
            </w:pPr>
            <w:r>
              <w:rPr>
                <w:rFonts w:hint="eastAsia" w:ascii="宋体" w:hAnsi="宋体" w:eastAsia="宋体" w:cs="宋体"/>
                <w:b/>
                <w:color w:val="auto"/>
                <w:kern w:val="0"/>
                <w:sz w:val="22"/>
                <w:szCs w:val="22"/>
                <w:lang w:bidi="ar"/>
              </w:rPr>
              <w:t>服务项</w:t>
            </w:r>
          </w:p>
        </w:tc>
        <w:tc>
          <w:tcPr>
            <w:tcW w:w="6521" w:type="dxa"/>
            <w:shd w:val="clear" w:color="auto" w:fill="auto"/>
            <w:noWrap/>
            <w:vAlign w:val="center"/>
          </w:tcPr>
          <w:p w14:paraId="26C195AD">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b/>
                <w:color w:val="auto"/>
                <w:sz w:val="22"/>
                <w:szCs w:val="22"/>
              </w:rPr>
            </w:pPr>
            <w:r>
              <w:rPr>
                <w:rFonts w:hint="eastAsia" w:ascii="宋体" w:hAnsi="宋体" w:eastAsia="宋体" w:cs="宋体"/>
                <w:b/>
                <w:color w:val="auto"/>
                <w:kern w:val="0"/>
                <w:sz w:val="22"/>
                <w:szCs w:val="22"/>
                <w:lang w:bidi="ar"/>
              </w:rPr>
              <w:t>详细技术服务内容</w:t>
            </w:r>
          </w:p>
        </w:tc>
        <w:tc>
          <w:tcPr>
            <w:tcW w:w="1134" w:type="dxa"/>
            <w:shd w:val="clear" w:color="auto" w:fill="auto"/>
            <w:noWrap/>
            <w:vAlign w:val="center"/>
          </w:tcPr>
          <w:p w14:paraId="38D15422">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b/>
                <w:color w:val="auto"/>
                <w:sz w:val="22"/>
                <w:szCs w:val="22"/>
              </w:rPr>
            </w:pPr>
            <w:r>
              <w:rPr>
                <w:rFonts w:hint="eastAsia" w:ascii="宋体" w:hAnsi="宋体" w:eastAsia="宋体" w:cs="宋体"/>
                <w:b/>
                <w:color w:val="auto"/>
                <w:kern w:val="0"/>
                <w:sz w:val="22"/>
                <w:szCs w:val="22"/>
                <w:lang w:bidi="ar"/>
              </w:rPr>
              <w:t>服务频次/量级</w:t>
            </w:r>
          </w:p>
        </w:tc>
      </w:tr>
      <w:tr w14:paraId="19F8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1" w:hRule="atLeast"/>
          <w:jc w:val="center"/>
        </w:trPr>
        <w:tc>
          <w:tcPr>
            <w:tcW w:w="675" w:type="dxa"/>
            <w:shd w:val="clear" w:color="auto" w:fill="auto"/>
            <w:noWrap/>
            <w:vAlign w:val="center"/>
          </w:tcPr>
          <w:p w14:paraId="68963782">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sz w:val="22"/>
                <w:szCs w:val="22"/>
              </w:rPr>
            </w:pPr>
            <w:r>
              <w:rPr>
                <w:rFonts w:hint="eastAsia" w:ascii="宋体" w:hAnsi="宋体" w:eastAsia="宋体" w:cs="宋体"/>
                <w:color w:val="auto"/>
                <w:kern w:val="0"/>
                <w:sz w:val="22"/>
                <w:szCs w:val="22"/>
                <w:lang w:bidi="ar"/>
              </w:rPr>
              <w:t>1</w:t>
            </w:r>
          </w:p>
        </w:tc>
        <w:tc>
          <w:tcPr>
            <w:tcW w:w="1134" w:type="dxa"/>
            <w:shd w:val="clear" w:color="auto" w:fill="auto"/>
            <w:noWrap/>
            <w:vAlign w:val="center"/>
          </w:tcPr>
          <w:p w14:paraId="760AD630">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eastAsia="zh-CN" w:bidi="ar"/>
              </w:rPr>
            </w:pPr>
            <w:r>
              <w:rPr>
                <w:rFonts w:hint="eastAsia" w:ascii="宋体" w:hAnsi="宋体" w:eastAsia="宋体" w:cs="宋体"/>
                <w:color w:val="auto"/>
                <w:kern w:val="0"/>
                <w:sz w:val="22"/>
                <w:szCs w:val="22"/>
                <w:lang w:bidi="ar"/>
              </w:rPr>
              <w:t>7*24小时态势感知远程运营服务</w:t>
            </w:r>
          </w:p>
        </w:tc>
        <w:tc>
          <w:tcPr>
            <w:tcW w:w="6521" w:type="dxa"/>
            <w:shd w:val="clear" w:color="auto" w:fill="auto"/>
            <w:noWrap/>
            <w:vAlign w:val="center"/>
          </w:tcPr>
          <w:p w14:paraId="4085CC48">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1、通过云端平台为上饶市人民医院提供一年7*24小时的远程威胁运营服务，威胁运营范围为医院互联网区域的安全流量。</w:t>
            </w:r>
          </w:p>
          <w:p w14:paraId="7E4E8163">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2、流量接收：具备接收医院已有互联网区态势感知平台输出的威胁告警及流量日志，并作为远程人工检测分析的数据源，为远程安全专家提供原始研判数据。</w:t>
            </w:r>
          </w:p>
          <w:p w14:paraId="724E29DB">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3、设备巡检：保障服务期内的医院互联网区态势感知平台设备正常运转，定期巡检流量采集状况、存储情况、授权、规则和情报更新状态等，避免故障和异常影响设备威胁检测能力。</w:t>
            </w:r>
          </w:p>
          <w:p w14:paraId="2C3A4DAB">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4、7*24小时威胁监测：对网络内的安全隐患情况、外部网络攻击网络漏洞利用情况、恶意软件活动情况、以及内网安全情况进行分析，对相关攻击事件及异常行为进行响应。监测范围需包含：APT告警、恶意软件告警、网页漏洞利用告警、网络攻击告警、WebShell告警等；</w:t>
            </w:r>
          </w:p>
          <w:p w14:paraId="030F81E1">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5、7*24小时威胁研判：云端服务团队通过远程运营安全服务平台监测到的告警，提供研判分析服务，分析内容需包括：APT告警、恶意软件告警、网页漏洞利用告警、网络攻击告警、WebShell告警等；</w:t>
            </w:r>
          </w:p>
          <w:p w14:paraId="16830EF3">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6、服务报告：服务人员对安全监测发现的安全隐患及事件在服务规定时间内进行通告，同时根据客户需求每日同步安全情况。建立工作群推送告警信息，包括高频攻击源、恶意软件IOC 、内外交互的恶意链接等，需提供每日安全简报、服务周报、服务月报等相应服务报告；</w:t>
            </w:r>
          </w:p>
          <w:p w14:paraId="2EC8EBB2">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7、策略运营与情报下发：云端服务团队需持续对远程运营安全服务平台规则进行调优，主要包含告警归并、误报优化等；需支持威胁情报下发，收集互联网最新漏洞信息进行同步；</w:t>
            </w:r>
          </w:p>
          <w:p w14:paraId="7D177A91">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8、运营闭环管理：基于医院已有互联网区态势感知平台输出的告警与流量日志，构建远程安全分析工作流，包括告警验证、攻击溯源、影响面评估和处置建议推送；服务过程中形成的分析结果可回写至态势感知平台，形成数据闭环，持续优化告警准确率。</w:t>
            </w:r>
          </w:p>
          <w:p w14:paraId="7B01931E">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9、联动处置：远程运营平台与本单位互联网出口防火墙备进行深度联动，在发现攻击行为时，能够快速触发联动响应机制，通过统一的策略下发，实现自动化阻断，有效遏制网络安全攻击行为。</w:t>
            </w:r>
          </w:p>
          <w:p w14:paraId="727D9920">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10、运营汇报：安排资深专家在线进行运营情况汇报，进行威胁分析情况解读，并对安全运营中的产品问题、安全分析疑难问题进行解答，协助进行问题解决。</w:t>
            </w:r>
          </w:p>
          <w:p w14:paraId="2A5457AB">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11、为保证本地数据的安全性，远程运营平台需支持数据脱敏、加密后接入云端平台。</w:t>
            </w:r>
          </w:p>
          <w:p w14:paraId="6A61D2E8">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val="en-US" w:eastAsia="zh-CN" w:bidi="ar"/>
              </w:rPr>
            </w:pPr>
            <w:r>
              <w:rPr>
                <w:rFonts w:hint="eastAsia" w:ascii="宋体" w:hAnsi="宋体" w:eastAsia="宋体" w:cs="宋体"/>
                <w:color w:val="auto"/>
                <w:kern w:val="0"/>
                <w:sz w:val="22"/>
                <w:szCs w:val="22"/>
                <w:lang w:val="en-US" w:eastAsia="zh-CN" w:bidi="ar"/>
              </w:rPr>
              <w:t>12、具备高效智能响应功能以及配套的流量采集探针，通过原生的流量采集，端点采集工具和探针镜像流量进行监听，聚合关键数据进行分析，实现精确生成安全事件并自动回溯完整攻击链，内置微剧本以半自动化方式高效智能响应效果；</w:t>
            </w:r>
          </w:p>
          <w:p w14:paraId="0C6E5552">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val="en-US" w:eastAsia="zh-CN" w:bidi="ar"/>
              </w:rPr>
            </w:pPr>
            <w:r>
              <w:rPr>
                <w:rFonts w:hint="eastAsia" w:ascii="宋体" w:hAnsi="宋体" w:eastAsia="宋体" w:cs="宋体"/>
                <w:color w:val="auto"/>
                <w:kern w:val="0"/>
                <w:sz w:val="22"/>
                <w:szCs w:val="22"/>
                <w:lang w:val="en-US" w:eastAsia="zh-CN" w:bidi="ar"/>
              </w:rPr>
              <w:t>13、嵌套安全大模型能力，支持告警自动化值守，全量告警逐一研判，基于安全大模型进行真实攻击、业务误报、疑似攻击等高精度定性，防止规则漏报，支持安全事件生成，通过安全大模型研判、告警和日志关联等手段，生成需要重点关注的安全事件；</w:t>
            </w:r>
          </w:p>
          <w:p w14:paraId="486EAB31">
            <w:pPr>
              <w:keepNext w:val="0"/>
              <w:keepLines w:val="0"/>
              <w:pageBreakBefore w:val="0"/>
              <w:kinsoku/>
              <w:wordWrap/>
              <w:overflowPunct/>
              <w:topLinePunct w:val="0"/>
              <w:autoSpaceDE/>
              <w:autoSpaceDN/>
              <w:bidi w:val="0"/>
              <w:adjustRightInd/>
              <w:rPr>
                <w:rFonts w:hint="default" w:ascii="宋体" w:hAnsi="宋体" w:eastAsia="宋体" w:cs="宋体"/>
                <w:color w:val="auto"/>
                <w:kern w:val="0"/>
                <w:sz w:val="22"/>
                <w:szCs w:val="22"/>
                <w:lang w:val="en-US" w:eastAsia="zh-CN" w:bidi="ar"/>
              </w:rPr>
            </w:pPr>
            <w:r>
              <w:rPr>
                <w:rFonts w:hint="eastAsia" w:ascii="宋体" w:hAnsi="宋体" w:eastAsia="宋体" w:cs="宋体"/>
                <w:color w:val="auto"/>
                <w:kern w:val="0"/>
                <w:sz w:val="22"/>
                <w:szCs w:val="22"/>
                <w:lang w:val="en-US" w:eastAsia="zh-CN" w:bidi="ar"/>
              </w:rPr>
              <w:t>14、具备按需订阅的扩展服务能力，通过第三方设备联动功能实现与医院现有主要安全设备日志接入联动效果；通过自定义工单流程实现灵活自定义安全运营和通报预警流程效果。</w:t>
            </w:r>
          </w:p>
        </w:tc>
        <w:tc>
          <w:tcPr>
            <w:tcW w:w="1134" w:type="dxa"/>
            <w:shd w:val="clear" w:color="auto" w:fill="auto"/>
            <w:noWrap/>
            <w:vAlign w:val="center"/>
          </w:tcPr>
          <w:p w14:paraId="5CB4B037">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服务期内全年覆盖</w:t>
            </w:r>
          </w:p>
        </w:tc>
      </w:tr>
      <w:tr w14:paraId="217B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jc w:val="center"/>
        </w:trPr>
        <w:tc>
          <w:tcPr>
            <w:tcW w:w="675" w:type="dxa"/>
            <w:shd w:val="clear" w:color="auto" w:fill="auto"/>
            <w:noWrap/>
            <w:vAlign w:val="center"/>
          </w:tcPr>
          <w:p w14:paraId="02038326">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sz w:val="22"/>
                <w:szCs w:val="22"/>
                <w:lang w:eastAsia="zh-CN"/>
              </w:rPr>
            </w:pPr>
            <w:r>
              <w:rPr>
                <w:rFonts w:hint="eastAsia" w:ascii="宋体" w:hAnsi="宋体" w:eastAsia="宋体" w:cs="宋体"/>
                <w:color w:val="auto"/>
                <w:kern w:val="0"/>
                <w:sz w:val="22"/>
                <w:szCs w:val="22"/>
                <w:lang w:val="en-US" w:eastAsia="zh-CN" w:bidi="ar"/>
              </w:rPr>
              <w:t>2</w:t>
            </w:r>
          </w:p>
        </w:tc>
        <w:tc>
          <w:tcPr>
            <w:tcW w:w="1134" w:type="dxa"/>
            <w:shd w:val="clear" w:color="auto" w:fill="auto"/>
            <w:noWrap/>
            <w:vAlign w:val="center"/>
          </w:tcPr>
          <w:p w14:paraId="2ECD757D">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重保服务</w:t>
            </w:r>
          </w:p>
        </w:tc>
        <w:tc>
          <w:tcPr>
            <w:tcW w:w="6521" w:type="dxa"/>
            <w:shd w:val="clear" w:color="auto" w:fill="auto"/>
            <w:noWrap/>
          </w:tcPr>
          <w:p w14:paraId="0DD06DA0">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1、重要时期（HW、重大活动）值守：安全专家在值守前主动进行风险排查（外网高风险端口、安全策略、漏洞、弱密码等）、提供风险排查报告；</w:t>
            </w:r>
          </w:p>
          <w:p w14:paraId="29F61C6F">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2、在值守期间调高威胁监测对抗灵敏度，4H一次战报和值守日报；</w:t>
            </w:r>
          </w:p>
          <w:p w14:paraId="671F34CA">
            <w:pPr>
              <w:keepNext w:val="0"/>
              <w:keepLines w:val="0"/>
              <w:pageBreakBefore w:val="0"/>
              <w:widowControl/>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3、值守结束后提供值守总结（融合到最近季度报告中一起汇报）。</w:t>
            </w:r>
          </w:p>
        </w:tc>
        <w:tc>
          <w:tcPr>
            <w:tcW w:w="1134" w:type="dxa"/>
            <w:shd w:val="clear" w:color="auto" w:fill="auto"/>
            <w:noWrap/>
            <w:vAlign w:val="center"/>
          </w:tcPr>
          <w:p w14:paraId="1112DD11">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2周/年</w:t>
            </w:r>
          </w:p>
        </w:tc>
      </w:tr>
      <w:tr w14:paraId="1750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6" w:hRule="atLeast"/>
          <w:jc w:val="center"/>
        </w:trPr>
        <w:tc>
          <w:tcPr>
            <w:tcW w:w="675" w:type="dxa"/>
            <w:shd w:val="clear" w:color="auto" w:fill="auto"/>
            <w:noWrap/>
            <w:vAlign w:val="center"/>
          </w:tcPr>
          <w:p w14:paraId="7A77AD3C">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val="en-US" w:eastAsia="zh-CN" w:bidi="ar"/>
              </w:rPr>
            </w:pPr>
            <w:r>
              <w:rPr>
                <w:rFonts w:hint="eastAsia" w:ascii="宋体" w:hAnsi="宋体" w:eastAsia="宋体" w:cs="宋体"/>
                <w:color w:val="auto"/>
                <w:kern w:val="0"/>
                <w:sz w:val="22"/>
                <w:szCs w:val="22"/>
                <w:lang w:val="en-US" w:eastAsia="zh-CN" w:bidi="ar"/>
              </w:rPr>
              <w:t>3</w:t>
            </w:r>
          </w:p>
        </w:tc>
        <w:tc>
          <w:tcPr>
            <w:tcW w:w="1134" w:type="dxa"/>
            <w:shd w:val="clear" w:color="auto" w:fill="auto"/>
            <w:noWrap/>
            <w:vAlign w:val="center"/>
          </w:tcPr>
          <w:p w14:paraId="0BC09A3C">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钓鱼演练</w:t>
            </w:r>
          </w:p>
        </w:tc>
        <w:tc>
          <w:tcPr>
            <w:tcW w:w="6521" w:type="dxa"/>
            <w:shd w:val="clear" w:color="auto" w:fill="auto"/>
            <w:noWrap/>
            <w:vAlign w:val="top"/>
          </w:tcPr>
          <w:p w14:paraId="55B751D0">
            <w:pPr>
              <w:keepNext w:val="0"/>
              <w:keepLines w:val="0"/>
              <w:pageBreakBefore w:val="0"/>
              <w:numPr>
                <w:ilvl w:val="0"/>
                <w:numId w:val="2"/>
              </w:numPr>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支持1000个以内演练对象；</w:t>
            </w:r>
          </w:p>
          <w:p w14:paraId="6309F0BF">
            <w:pPr>
              <w:keepNext w:val="0"/>
              <w:keepLines w:val="0"/>
              <w:pageBreakBefore w:val="0"/>
              <w:numPr>
                <w:ilvl w:val="0"/>
                <w:numId w:val="2"/>
              </w:numPr>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 xml:space="preserve"> 支持钓鱼链接/钓鱼二维码/钓鱼附件多种钓鱼演练形式； </w:t>
            </w:r>
          </w:p>
          <w:p w14:paraId="6E63E064">
            <w:pPr>
              <w:keepNext w:val="0"/>
              <w:keepLines w:val="0"/>
              <w:pageBreakBefore w:val="0"/>
              <w:numPr>
                <w:ilvl w:val="0"/>
                <w:numId w:val="2"/>
              </w:numPr>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支持钓鱼邮件伪造、钓鱼邮件攻击、风险操作跟踪、钓鱼风险分析等能力。</w:t>
            </w:r>
          </w:p>
          <w:p w14:paraId="6253A3C9">
            <w:pPr>
              <w:keepNext w:val="0"/>
              <w:keepLines w:val="0"/>
              <w:pageBreakBefore w:val="0"/>
              <w:numPr>
                <w:ilvl w:val="0"/>
                <w:numId w:val="2"/>
              </w:numPr>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钓鱼文案支持邮件模板自定义，钓鱼页面支持镜像仿真业务网站/模板页面；</w:t>
            </w:r>
          </w:p>
          <w:p w14:paraId="0E6EF402">
            <w:pPr>
              <w:keepNext w:val="0"/>
              <w:keepLines w:val="0"/>
              <w:pageBreakBefore w:val="0"/>
              <w:numPr>
                <w:ilvl w:val="0"/>
                <w:numId w:val="2"/>
              </w:numPr>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 xml:space="preserve"> 钓鱼邮件内容支持收件人、日期等动态变量，发件人支持中文别名显示； </w:t>
            </w:r>
          </w:p>
          <w:p w14:paraId="4ABD1A93">
            <w:pPr>
              <w:keepNext w:val="0"/>
              <w:keepLines w:val="0"/>
              <w:pageBreakBefore w:val="0"/>
              <w:widowControl/>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 xml:space="preserve"> 输出《钓鱼演练总结报告》《钓鱼演练数据统计表》</w:t>
            </w:r>
          </w:p>
        </w:tc>
        <w:tc>
          <w:tcPr>
            <w:tcW w:w="1134" w:type="dxa"/>
            <w:shd w:val="clear" w:color="auto" w:fill="auto"/>
            <w:noWrap/>
            <w:vAlign w:val="center"/>
          </w:tcPr>
          <w:p w14:paraId="505F4759">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val="en-US" w:eastAsia="zh-CN" w:bidi="ar"/>
              </w:rPr>
              <w:t>2次/年</w:t>
            </w:r>
          </w:p>
        </w:tc>
      </w:tr>
      <w:tr w14:paraId="5791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6" w:hRule="atLeast"/>
          <w:jc w:val="center"/>
        </w:trPr>
        <w:tc>
          <w:tcPr>
            <w:tcW w:w="675" w:type="dxa"/>
            <w:shd w:val="clear" w:color="auto" w:fill="auto"/>
            <w:noWrap/>
            <w:vAlign w:val="center"/>
          </w:tcPr>
          <w:p w14:paraId="6A2FD2B0">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val="en-US" w:eastAsia="zh-CN" w:bidi="ar"/>
              </w:rPr>
            </w:pPr>
            <w:r>
              <w:rPr>
                <w:rFonts w:hint="eastAsia" w:ascii="宋体" w:hAnsi="宋体" w:eastAsia="宋体" w:cs="宋体"/>
                <w:color w:val="auto"/>
                <w:kern w:val="0"/>
                <w:sz w:val="22"/>
                <w:szCs w:val="22"/>
                <w:lang w:val="en-US" w:eastAsia="zh-CN" w:bidi="ar"/>
              </w:rPr>
              <w:t>4</w:t>
            </w:r>
          </w:p>
        </w:tc>
        <w:tc>
          <w:tcPr>
            <w:tcW w:w="1134" w:type="dxa"/>
            <w:shd w:val="clear" w:color="auto" w:fill="auto"/>
            <w:noWrap/>
            <w:vAlign w:val="center"/>
          </w:tcPr>
          <w:p w14:paraId="70E95A9C">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诱捕服务</w:t>
            </w:r>
          </w:p>
        </w:tc>
        <w:tc>
          <w:tcPr>
            <w:tcW w:w="6521" w:type="dxa"/>
            <w:shd w:val="clear" w:color="auto" w:fill="auto"/>
            <w:noWrap/>
            <w:vAlign w:val="center"/>
          </w:tcPr>
          <w:p w14:paraId="6EB8C859">
            <w:pPr>
              <w:keepNext w:val="0"/>
              <w:keepLines w:val="0"/>
              <w:pageBreakBefore w:val="0"/>
              <w:widowControl/>
              <w:numPr>
                <w:ilvl w:val="0"/>
                <w:numId w:val="0"/>
              </w:numPr>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p>
          <w:p w14:paraId="23DA53BB">
            <w:pPr>
              <w:keepNext w:val="0"/>
              <w:keepLines w:val="0"/>
              <w:pageBreakBefore w:val="0"/>
              <w:widowControl/>
              <w:numPr>
                <w:ilvl w:val="0"/>
                <w:numId w:val="3"/>
              </w:numPr>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sz w:val="22"/>
                <w:szCs w:val="22"/>
              </w:rPr>
              <w:t>对二层网络及重要业务区域执行自动化资产扫描，交付完整的内网IP存活清单及开放端口台账；在内网空闲IP段，批量部署虚拟诱捕IP及高仿真业务端口服务</w:t>
            </w:r>
            <w:r>
              <w:rPr>
                <w:rFonts w:hint="eastAsia" w:ascii="宋体" w:hAnsi="宋体" w:eastAsia="宋体" w:cs="宋体"/>
                <w:color w:val="auto"/>
                <w:sz w:val="22"/>
                <w:szCs w:val="22"/>
                <w:lang w:eastAsia="zh-CN"/>
              </w:rPr>
              <w:t>；</w:t>
            </w:r>
          </w:p>
          <w:p w14:paraId="2F5BB555">
            <w:pPr>
              <w:keepNext w:val="0"/>
              <w:keepLines w:val="0"/>
              <w:pageBreakBefore w:val="0"/>
              <w:widowControl/>
              <w:numPr>
                <w:ilvl w:val="0"/>
                <w:numId w:val="3"/>
              </w:numPr>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构建虚假网络陷阱，虚拟假 IP 和端口用来引诱黑客攻击；一旦有黑客来试探进攻，完整留存攻击相关信息，能够查看攻击者来源、攻击时间、攻击频次，也可以按时间、关键词快速查询所有攻击记录。</w:t>
            </w:r>
          </w:p>
          <w:p w14:paraId="3BE5DD76">
            <w:pPr>
              <w:keepNext w:val="0"/>
              <w:keepLines w:val="0"/>
              <w:pageBreakBefore w:val="0"/>
              <w:widowControl/>
              <w:numPr>
                <w:ilvl w:val="0"/>
                <w:numId w:val="3"/>
              </w:numPr>
              <w:kinsoku/>
              <w:wordWrap/>
              <w:overflowPunct/>
              <w:topLinePunct w:val="0"/>
              <w:autoSpaceDE/>
              <w:autoSpaceDN/>
              <w:bidi w:val="0"/>
              <w:adjustRightInd/>
              <w:snapToGrid w:val="0"/>
              <w:textAlignment w:val="center"/>
              <w:rPr>
                <w:rFonts w:hint="eastAsia" w:ascii="宋体" w:hAnsi="宋体" w:eastAsia="宋体" w:cs="宋体"/>
                <w:color w:val="auto"/>
                <w:sz w:val="22"/>
                <w:szCs w:val="22"/>
                <w:lang w:val="en-US" w:eastAsia="zh-CN"/>
              </w:rPr>
            </w:pPr>
            <w:r>
              <w:rPr>
                <w:rFonts w:hint="eastAsia" w:ascii="宋体" w:hAnsi="宋体" w:eastAsia="宋体" w:cs="宋体"/>
                <w:color w:val="auto"/>
                <w:kern w:val="0"/>
                <w:sz w:val="22"/>
                <w:szCs w:val="22"/>
                <w:lang w:bidi="ar"/>
              </w:rPr>
              <w:t>利用IP诱捕功能，融合存活探测、端口扫描、协议模拟等多层技术，主动探测并感知横向扫描与东西向病网络病毒扩散，通过基于诱捕陷阱IP触发的“接触即告警”的事件模型，实现覆盖内网横向攻击链主动监测实时感知，达到“接触即告警”的快速响应机制。</w:t>
            </w:r>
          </w:p>
          <w:p w14:paraId="3F0A15D9">
            <w:pPr>
              <w:keepNext w:val="0"/>
              <w:keepLines w:val="0"/>
              <w:pageBreakBefore w:val="0"/>
              <w:widowControl/>
              <w:numPr>
                <w:ilvl w:val="0"/>
                <w:numId w:val="0"/>
              </w:numPr>
              <w:kinsoku/>
              <w:wordWrap/>
              <w:overflowPunct/>
              <w:topLinePunct w:val="0"/>
              <w:autoSpaceDE/>
              <w:autoSpaceDN/>
              <w:bidi w:val="0"/>
              <w:adjustRightInd/>
              <w:snapToGrid w:val="0"/>
              <w:textAlignment w:val="center"/>
              <w:rPr>
                <w:rFonts w:hint="eastAsia" w:ascii="宋体" w:hAnsi="宋体" w:eastAsia="宋体" w:cs="宋体"/>
                <w:color w:val="auto"/>
                <w:sz w:val="22"/>
                <w:szCs w:val="22"/>
                <w:lang w:val="en-US" w:eastAsia="zh-CN"/>
              </w:rPr>
            </w:pPr>
          </w:p>
        </w:tc>
        <w:tc>
          <w:tcPr>
            <w:tcW w:w="1134" w:type="dxa"/>
            <w:shd w:val="clear" w:color="auto" w:fill="auto"/>
            <w:noWrap/>
            <w:vAlign w:val="center"/>
          </w:tcPr>
          <w:p w14:paraId="4E16A4F6">
            <w:pPr>
              <w:keepNext w:val="0"/>
              <w:keepLines w:val="0"/>
              <w:pageBreakBefore w:val="0"/>
              <w:widowControl/>
              <w:kinsoku/>
              <w:wordWrap/>
              <w:overflowPunct/>
              <w:topLinePunct w:val="0"/>
              <w:autoSpaceDE/>
              <w:autoSpaceDN/>
              <w:bidi w:val="0"/>
              <w:adjustRightInd/>
              <w:snapToGrid w:val="0"/>
              <w:jc w:val="both"/>
              <w:textAlignment w:val="center"/>
              <w:rPr>
                <w:rFonts w:hint="eastAsia" w:ascii="宋体" w:hAnsi="宋体" w:eastAsia="宋体" w:cs="宋体"/>
                <w:color w:val="auto"/>
                <w:kern w:val="0"/>
                <w:sz w:val="22"/>
                <w:szCs w:val="22"/>
                <w:lang w:val="en-US" w:eastAsia="zh-CN" w:bidi="ar"/>
              </w:rPr>
            </w:pPr>
            <w:r>
              <w:rPr>
                <w:rFonts w:hint="eastAsia" w:ascii="宋体" w:hAnsi="宋体" w:eastAsia="宋体" w:cs="宋体"/>
                <w:color w:val="auto"/>
                <w:kern w:val="0"/>
                <w:sz w:val="22"/>
                <w:szCs w:val="22"/>
                <w:lang w:val="en-US" w:eastAsia="zh-CN" w:bidi="ar"/>
              </w:rPr>
              <w:t>2次/年</w:t>
            </w:r>
          </w:p>
        </w:tc>
      </w:tr>
      <w:tr w14:paraId="2831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675" w:type="dxa"/>
            <w:shd w:val="clear" w:color="auto" w:fill="auto"/>
            <w:noWrap/>
            <w:vAlign w:val="center"/>
          </w:tcPr>
          <w:p w14:paraId="08F78793">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sz w:val="22"/>
                <w:szCs w:val="22"/>
              </w:rPr>
            </w:pPr>
            <w:r>
              <w:rPr>
                <w:rFonts w:hint="eastAsia" w:ascii="宋体" w:hAnsi="宋体" w:eastAsia="宋体" w:cs="宋体"/>
                <w:color w:val="auto"/>
                <w:kern w:val="0"/>
                <w:sz w:val="22"/>
                <w:szCs w:val="22"/>
                <w:lang w:bidi="ar"/>
              </w:rPr>
              <w:t>5</w:t>
            </w:r>
          </w:p>
        </w:tc>
        <w:tc>
          <w:tcPr>
            <w:tcW w:w="1134" w:type="dxa"/>
            <w:shd w:val="clear" w:color="auto" w:fill="auto"/>
            <w:noWrap/>
            <w:vAlign w:val="center"/>
          </w:tcPr>
          <w:p w14:paraId="081C95F4">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渗透测试</w:t>
            </w:r>
          </w:p>
        </w:tc>
        <w:tc>
          <w:tcPr>
            <w:tcW w:w="6521" w:type="dxa"/>
            <w:shd w:val="clear" w:color="auto" w:fill="auto"/>
            <w:noWrap/>
          </w:tcPr>
          <w:p w14:paraId="5E4963B1">
            <w:pPr>
              <w:keepNext w:val="0"/>
              <w:keepLines w:val="0"/>
              <w:pageBreakBefore w:val="0"/>
              <w:numPr>
                <w:ilvl w:val="0"/>
                <w:numId w:val="4"/>
              </w:numPr>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模拟黑客攻击为主要手段，发现常见的高中危漏洞为主要目标；对应用系统模拟黑客攻击进行无害安全性测试，发现系统存在的安全问题，对过程中发现的问题及风险提出安全加固建议。</w:t>
            </w:r>
          </w:p>
          <w:p w14:paraId="11FBC1C7">
            <w:pPr>
              <w:keepNext w:val="0"/>
              <w:keepLines w:val="0"/>
              <w:pageBreakBefore w:val="0"/>
              <w:widowControl/>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渗透测试除了通用漏洞和常规漏洞以外还可以发现更多和业务逻辑相关的漏洞如越权访问、支付漏洞、口令找回等业务逻辑漏洞；并且安全专家会针对性给出漏洞验证及利用的过程展示。</w:t>
            </w:r>
          </w:p>
        </w:tc>
        <w:tc>
          <w:tcPr>
            <w:tcW w:w="1134" w:type="dxa"/>
            <w:shd w:val="clear" w:color="auto" w:fill="auto"/>
            <w:noWrap/>
            <w:vAlign w:val="center"/>
          </w:tcPr>
          <w:p w14:paraId="6D254DBE">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3天/年</w:t>
            </w:r>
          </w:p>
        </w:tc>
      </w:tr>
      <w:tr w14:paraId="61EC3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675" w:type="dxa"/>
            <w:shd w:val="clear" w:color="auto" w:fill="auto"/>
            <w:noWrap/>
            <w:vAlign w:val="center"/>
          </w:tcPr>
          <w:p w14:paraId="2B01D28E">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sz w:val="22"/>
                <w:szCs w:val="22"/>
              </w:rPr>
            </w:pPr>
            <w:r>
              <w:rPr>
                <w:rFonts w:hint="eastAsia" w:ascii="宋体" w:hAnsi="宋体" w:eastAsia="宋体" w:cs="宋体"/>
                <w:color w:val="auto"/>
                <w:kern w:val="0"/>
                <w:sz w:val="22"/>
                <w:szCs w:val="22"/>
                <w:lang w:bidi="ar"/>
              </w:rPr>
              <w:t>6</w:t>
            </w:r>
          </w:p>
        </w:tc>
        <w:tc>
          <w:tcPr>
            <w:tcW w:w="1134" w:type="dxa"/>
            <w:shd w:val="clear" w:color="auto" w:fill="auto"/>
            <w:noWrap/>
            <w:vAlign w:val="center"/>
          </w:tcPr>
          <w:p w14:paraId="0D6C19F8">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基线核查</w:t>
            </w:r>
          </w:p>
        </w:tc>
        <w:tc>
          <w:tcPr>
            <w:tcW w:w="6521" w:type="dxa"/>
            <w:shd w:val="clear" w:color="auto" w:fill="auto"/>
            <w:noWrap/>
          </w:tcPr>
          <w:p w14:paraId="0337E734">
            <w:pPr>
              <w:keepNext w:val="0"/>
              <w:keepLines w:val="0"/>
              <w:pageBreakBefore w:val="0"/>
              <w:widowControl/>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1、对客户的硬件资产（如：主机设备、网络设备、安全设备、办公终端等）和软件系统（如：操作系统、数据库、中间件和常用服务协议等）进行安全配置的核查；</w:t>
            </w:r>
          </w:p>
        </w:tc>
        <w:tc>
          <w:tcPr>
            <w:tcW w:w="1134" w:type="dxa"/>
            <w:shd w:val="clear" w:color="auto" w:fill="auto"/>
            <w:noWrap/>
            <w:vAlign w:val="center"/>
          </w:tcPr>
          <w:p w14:paraId="7DACD891">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3天/年</w:t>
            </w:r>
          </w:p>
        </w:tc>
      </w:tr>
      <w:tr w14:paraId="3EFD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3" w:hRule="atLeast"/>
          <w:jc w:val="center"/>
        </w:trPr>
        <w:tc>
          <w:tcPr>
            <w:tcW w:w="675" w:type="dxa"/>
            <w:shd w:val="clear" w:color="auto" w:fill="auto"/>
            <w:noWrap/>
            <w:vAlign w:val="center"/>
          </w:tcPr>
          <w:p w14:paraId="4982E2DC">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sz w:val="22"/>
                <w:szCs w:val="22"/>
              </w:rPr>
            </w:pPr>
            <w:r>
              <w:rPr>
                <w:rFonts w:hint="eastAsia" w:ascii="宋体" w:hAnsi="宋体" w:eastAsia="宋体" w:cs="宋体"/>
                <w:color w:val="auto"/>
                <w:kern w:val="0"/>
                <w:sz w:val="22"/>
                <w:szCs w:val="22"/>
                <w:lang w:bidi="ar"/>
              </w:rPr>
              <w:t>7</w:t>
            </w:r>
          </w:p>
        </w:tc>
        <w:tc>
          <w:tcPr>
            <w:tcW w:w="1134" w:type="dxa"/>
            <w:shd w:val="clear" w:color="auto" w:fill="auto"/>
            <w:noWrap/>
            <w:vAlign w:val="center"/>
          </w:tcPr>
          <w:p w14:paraId="2FE40165">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系统漏洞加固</w:t>
            </w:r>
          </w:p>
        </w:tc>
        <w:tc>
          <w:tcPr>
            <w:tcW w:w="6521" w:type="dxa"/>
            <w:shd w:val="clear" w:color="auto" w:fill="auto"/>
            <w:noWrap/>
            <w:vAlign w:val="center"/>
          </w:tcPr>
          <w:p w14:paraId="5505D314">
            <w:pPr>
              <w:keepNext w:val="0"/>
              <w:keepLines w:val="0"/>
              <w:pageBreakBefore w:val="0"/>
              <w:kinsoku/>
              <w:wordWrap/>
              <w:overflowPunct/>
              <w:topLinePunct w:val="0"/>
              <w:autoSpaceDE/>
              <w:autoSpaceDN/>
              <w:bidi w:val="0"/>
              <w:adjustRightInd/>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1、使用漏洞扫描工具对业务系统、数据库、操作系统、中间件等进行漏洞、端口、弱口令的扫描检测，扫描完成后由技术人员对漏洞进行确认测试，提出整改建议，协助开发人员整改。</w:t>
            </w:r>
          </w:p>
          <w:p w14:paraId="1A2F0F21">
            <w:pPr>
              <w:keepNext w:val="0"/>
              <w:keepLines w:val="0"/>
              <w:pageBreakBefore w:val="0"/>
              <w:widowControl/>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2、提供根据安全漏洞扫描结果，开展查漏补缺的安全整改优化服务，提供服务器操作系统加固服务，并撰写安全整改报告等报告。</w:t>
            </w:r>
          </w:p>
        </w:tc>
        <w:tc>
          <w:tcPr>
            <w:tcW w:w="1134" w:type="dxa"/>
            <w:shd w:val="clear" w:color="auto" w:fill="auto"/>
            <w:noWrap/>
            <w:vAlign w:val="center"/>
          </w:tcPr>
          <w:p w14:paraId="7DEC80C7">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4次/年</w:t>
            </w:r>
          </w:p>
        </w:tc>
      </w:tr>
      <w:tr w14:paraId="1682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675" w:type="dxa"/>
            <w:shd w:val="clear" w:color="auto" w:fill="auto"/>
            <w:noWrap/>
            <w:vAlign w:val="center"/>
          </w:tcPr>
          <w:p w14:paraId="055381DE">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sz w:val="22"/>
                <w:szCs w:val="22"/>
              </w:rPr>
            </w:pPr>
            <w:r>
              <w:rPr>
                <w:rFonts w:hint="eastAsia" w:ascii="宋体" w:hAnsi="宋体" w:eastAsia="宋体" w:cs="宋体"/>
                <w:color w:val="auto"/>
                <w:kern w:val="0"/>
                <w:sz w:val="22"/>
                <w:szCs w:val="22"/>
                <w:lang w:bidi="ar"/>
              </w:rPr>
              <w:t>8</w:t>
            </w:r>
          </w:p>
        </w:tc>
        <w:tc>
          <w:tcPr>
            <w:tcW w:w="1134" w:type="dxa"/>
            <w:shd w:val="clear" w:color="auto" w:fill="auto"/>
            <w:noWrap/>
            <w:vAlign w:val="center"/>
          </w:tcPr>
          <w:p w14:paraId="10F305CA">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安全巡检</w:t>
            </w:r>
          </w:p>
        </w:tc>
        <w:tc>
          <w:tcPr>
            <w:tcW w:w="6521" w:type="dxa"/>
            <w:shd w:val="clear" w:color="auto" w:fill="auto"/>
            <w:noWrap/>
            <w:vAlign w:val="center"/>
          </w:tcPr>
          <w:p w14:paraId="16D42614">
            <w:pPr>
              <w:keepNext w:val="0"/>
              <w:keepLines w:val="0"/>
              <w:pageBreakBefore w:val="0"/>
              <w:widowControl/>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1、对信息系统中包括网络设备、安全设备、主机设备进行全面地安全巡检，提前发现设备的潜在故障和风险，减少设备安全隐患，并出具安全巡检报告。</w:t>
            </w:r>
          </w:p>
        </w:tc>
        <w:tc>
          <w:tcPr>
            <w:tcW w:w="1134" w:type="dxa"/>
            <w:shd w:val="clear" w:color="auto" w:fill="auto"/>
            <w:noWrap/>
            <w:vAlign w:val="center"/>
          </w:tcPr>
          <w:p w14:paraId="4396DC00">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4次/年</w:t>
            </w:r>
          </w:p>
        </w:tc>
      </w:tr>
      <w:tr w14:paraId="131D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675" w:type="dxa"/>
            <w:shd w:val="clear" w:color="auto" w:fill="auto"/>
            <w:noWrap/>
            <w:vAlign w:val="center"/>
          </w:tcPr>
          <w:p w14:paraId="3355700F">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9</w:t>
            </w:r>
          </w:p>
        </w:tc>
        <w:tc>
          <w:tcPr>
            <w:tcW w:w="1134" w:type="dxa"/>
            <w:shd w:val="clear" w:color="auto" w:fill="auto"/>
            <w:noWrap/>
            <w:vAlign w:val="center"/>
          </w:tcPr>
          <w:p w14:paraId="4C3401B5">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网络威胁监控服务（SaaS）</w:t>
            </w:r>
          </w:p>
        </w:tc>
        <w:tc>
          <w:tcPr>
            <w:tcW w:w="6521" w:type="dxa"/>
            <w:shd w:val="clear" w:color="auto" w:fill="auto"/>
            <w:noWrap/>
            <w:vAlign w:val="center"/>
          </w:tcPr>
          <w:p w14:paraId="34D01D30">
            <w:pPr>
              <w:keepNext w:val="0"/>
              <w:keepLines w:val="0"/>
              <w:pageBreakBefore w:val="0"/>
              <w:widowControl/>
              <w:numPr>
                <w:ilvl w:val="0"/>
                <w:numId w:val="5"/>
              </w:numPr>
              <w:kinsoku/>
              <w:wordWrap/>
              <w:overflowPunct/>
              <w:topLinePunct w:val="0"/>
              <w:autoSpaceDE/>
              <w:autoSpaceDN/>
              <w:bidi w:val="0"/>
              <w:adjustRightInd/>
              <w:snapToGrid w:val="0"/>
              <w:jc w:val="left"/>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7*24实时监控客户内网设备；支持检测下列设备：服务器、存储设备、网络打印设备、网络安全防护设备、无线AP、AC、路由器、网络监控摄像头、网络门禁设备</w:t>
            </w:r>
          </w:p>
          <w:p w14:paraId="6235EA06">
            <w:pPr>
              <w:keepNext w:val="0"/>
              <w:keepLines w:val="0"/>
              <w:pageBreakBefore w:val="0"/>
              <w:widowControl/>
              <w:numPr>
                <w:ilvl w:val="0"/>
                <w:numId w:val="5"/>
              </w:numPr>
              <w:kinsoku/>
              <w:wordWrap/>
              <w:overflowPunct/>
              <w:topLinePunct w:val="0"/>
              <w:autoSpaceDE/>
              <w:autoSpaceDN/>
              <w:bidi w:val="0"/>
              <w:adjustRightInd/>
              <w:snapToGrid w:val="0"/>
              <w:jc w:val="left"/>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帮助客户及时发现及定位“肉鸡”感染情况，及时发现渗透行为和高危“失陷设备”；</w:t>
            </w:r>
          </w:p>
          <w:p w14:paraId="7A1B7368">
            <w:pPr>
              <w:keepNext w:val="0"/>
              <w:keepLines w:val="0"/>
              <w:pageBreakBefore w:val="0"/>
              <w:widowControl/>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协助客户隔离、处理失陷设备，消灭攻击源；</w:t>
            </w:r>
          </w:p>
        </w:tc>
        <w:tc>
          <w:tcPr>
            <w:tcW w:w="1134" w:type="dxa"/>
            <w:shd w:val="clear" w:color="auto" w:fill="auto"/>
            <w:noWrap/>
            <w:vAlign w:val="center"/>
          </w:tcPr>
          <w:p w14:paraId="4D9A0EEF">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全年持续监控</w:t>
            </w:r>
          </w:p>
        </w:tc>
      </w:tr>
      <w:tr w14:paraId="3332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jc w:val="center"/>
        </w:trPr>
        <w:tc>
          <w:tcPr>
            <w:tcW w:w="675" w:type="dxa"/>
            <w:shd w:val="clear" w:color="auto" w:fill="auto"/>
            <w:noWrap/>
            <w:vAlign w:val="center"/>
          </w:tcPr>
          <w:p w14:paraId="324D8332">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10</w:t>
            </w:r>
          </w:p>
        </w:tc>
        <w:tc>
          <w:tcPr>
            <w:tcW w:w="1134" w:type="dxa"/>
            <w:shd w:val="clear" w:color="auto" w:fill="auto"/>
            <w:noWrap/>
            <w:vAlign w:val="center"/>
          </w:tcPr>
          <w:p w14:paraId="63A13AE4">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网络威胁巡检服务</w:t>
            </w:r>
          </w:p>
        </w:tc>
        <w:tc>
          <w:tcPr>
            <w:tcW w:w="6521" w:type="dxa"/>
            <w:shd w:val="clear" w:color="auto" w:fill="auto"/>
            <w:noWrap/>
            <w:vAlign w:val="center"/>
          </w:tcPr>
          <w:p w14:paraId="50276446">
            <w:pPr>
              <w:keepNext w:val="0"/>
              <w:keepLines w:val="0"/>
              <w:pageBreakBefore w:val="0"/>
              <w:widowControl/>
              <w:numPr>
                <w:ilvl w:val="0"/>
                <w:numId w:val="6"/>
              </w:numPr>
              <w:kinsoku/>
              <w:wordWrap/>
              <w:overflowPunct/>
              <w:topLinePunct w:val="0"/>
              <w:autoSpaceDE/>
              <w:autoSpaceDN/>
              <w:bidi w:val="0"/>
              <w:adjustRightInd/>
              <w:snapToGrid w:val="0"/>
              <w:jc w:val="left"/>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在巡检期间内监控客户内网设备；</w:t>
            </w:r>
          </w:p>
          <w:p w14:paraId="3ECBC719">
            <w:pPr>
              <w:keepNext w:val="0"/>
              <w:keepLines w:val="0"/>
              <w:pageBreakBefore w:val="0"/>
              <w:widowControl/>
              <w:numPr>
                <w:ilvl w:val="0"/>
                <w:numId w:val="6"/>
              </w:numPr>
              <w:kinsoku/>
              <w:wordWrap/>
              <w:overflowPunct/>
              <w:topLinePunct w:val="0"/>
              <w:autoSpaceDE/>
              <w:autoSpaceDN/>
              <w:bidi w:val="0"/>
              <w:adjustRightInd/>
              <w:snapToGrid w:val="0"/>
              <w:jc w:val="left"/>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帮助客户确定内网“肉鸡”感染情况，及时发现渗透行为和高危“失陷设备”；</w:t>
            </w:r>
          </w:p>
          <w:p w14:paraId="70963B14">
            <w:pPr>
              <w:keepNext w:val="0"/>
              <w:keepLines w:val="0"/>
              <w:pageBreakBefore w:val="0"/>
              <w:widowControl/>
              <w:numPr>
                <w:ilvl w:val="0"/>
                <w:numId w:val="6"/>
              </w:numPr>
              <w:kinsoku/>
              <w:wordWrap/>
              <w:overflowPunct/>
              <w:topLinePunct w:val="0"/>
              <w:autoSpaceDE/>
              <w:autoSpaceDN/>
              <w:bidi w:val="0"/>
              <w:adjustRightInd/>
              <w:snapToGrid w:val="0"/>
              <w:jc w:val="left"/>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协助客户隔离、处理失陷设备，消灭攻击源；</w:t>
            </w:r>
          </w:p>
          <w:p w14:paraId="17B736A6">
            <w:pPr>
              <w:keepNext w:val="0"/>
              <w:keepLines w:val="0"/>
              <w:pageBreakBefore w:val="0"/>
              <w:widowControl/>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提供《内网威胁情况检测报告》；</w:t>
            </w:r>
          </w:p>
        </w:tc>
        <w:tc>
          <w:tcPr>
            <w:tcW w:w="1134" w:type="dxa"/>
            <w:shd w:val="clear" w:color="auto" w:fill="auto"/>
            <w:noWrap/>
            <w:vAlign w:val="center"/>
          </w:tcPr>
          <w:p w14:paraId="6E201095">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2 次/年</w:t>
            </w:r>
          </w:p>
        </w:tc>
      </w:tr>
      <w:tr w14:paraId="1C90A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1" w:hRule="atLeast"/>
          <w:jc w:val="center"/>
        </w:trPr>
        <w:tc>
          <w:tcPr>
            <w:tcW w:w="675" w:type="dxa"/>
            <w:shd w:val="clear" w:color="auto" w:fill="auto"/>
            <w:noWrap/>
            <w:vAlign w:val="center"/>
          </w:tcPr>
          <w:p w14:paraId="7E1C437F">
            <w:pPr>
              <w:keepNext w:val="0"/>
              <w:keepLines w:val="0"/>
              <w:pageBreakBefore w:val="0"/>
              <w:widowControl/>
              <w:kinsoku/>
              <w:wordWrap/>
              <w:overflowPunct/>
              <w:topLinePunct w:val="0"/>
              <w:autoSpaceDE/>
              <w:autoSpaceDN/>
              <w:bidi w:val="0"/>
              <w:adjustRightInd/>
              <w:snapToGrid w:val="0"/>
              <w:jc w:val="center"/>
              <w:textAlignment w:val="center"/>
              <w:rPr>
                <w:rFonts w:hint="default" w:ascii="宋体" w:hAnsi="宋体" w:eastAsia="宋体" w:cs="宋体"/>
                <w:color w:val="auto"/>
                <w:kern w:val="0"/>
                <w:sz w:val="22"/>
                <w:szCs w:val="22"/>
                <w:lang w:val="en-US" w:eastAsia="zh-CN" w:bidi="ar"/>
              </w:rPr>
            </w:pPr>
            <w:r>
              <w:rPr>
                <w:rFonts w:hint="eastAsia" w:ascii="宋体" w:hAnsi="宋体" w:eastAsia="宋体" w:cs="宋体"/>
                <w:color w:val="auto"/>
                <w:kern w:val="0"/>
                <w:sz w:val="22"/>
                <w:szCs w:val="22"/>
                <w:lang w:val="en-US" w:eastAsia="zh-CN" w:bidi="ar"/>
              </w:rPr>
              <w:t>11</w:t>
            </w:r>
          </w:p>
        </w:tc>
        <w:tc>
          <w:tcPr>
            <w:tcW w:w="1134" w:type="dxa"/>
            <w:shd w:val="clear" w:color="auto" w:fill="auto"/>
            <w:noWrap/>
            <w:vAlign w:val="center"/>
          </w:tcPr>
          <w:p w14:paraId="297B1D45">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ascii="宋体" w:hAnsi="宋体" w:eastAsia="宋体" w:cs="宋体"/>
                <w:color w:val="auto"/>
                <w:sz w:val="22"/>
                <w:szCs w:val="22"/>
              </w:rPr>
              <w:t>容灾运维服务</w:t>
            </w:r>
          </w:p>
        </w:tc>
        <w:tc>
          <w:tcPr>
            <w:tcW w:w="6521" w:type="dxa"/>
            <w:shd w:val="clear" w:color="auto" w:fill="auto"/>
            <w:noWrap/>
            <w:vAlign w:val="center"/>
          </w:tcPr>
          <w:p w14:paraId="5AE75BCD">
            <w:pPr>
              <w:keepNext w:val="0"/>
              <w:keepLines w:val="0"/>
              <w:pageBreakBefore w:val="0"/>
              <w:widowControl/>
              <w:numPr>
                <w:ilvl w:val="0"/>
                <w:numId w:val="7"/>
              </w:numPr>
              <w:kinsoku/>
              <w:wordWrap/>
              <w:overflowPunct/>
              <w:topLinePunct w:val="0"/>
              <w:autoSpaceDE/>
              <w:autoSpaceDN/>
              <w:bidi w:val="0"/>
              <w:adjustRightInd/>
              <w:snapToGrid w:val="0"/>
              <w:textAlignment w:val="center"/>
              <w:rPr>
                <w:rFonts w:hint="eastAsia" w:ascii="宋体" w:hAnsi="宋体" w:eastAsia="宋体" w:cs="宋体"/>
                <w:color w:val="auto"/>
                <w:sz w:val="22"/>
                <w:szCs w:val="22"/>
                <w:lang w:val="en-US" w:eastAsia="zh-CN"/>
              </w:rPr>
            </w:pPr>
            <w:r>
              <w:rPr>
                <w:rFonts w:ascii="宋体" w:hAnsi="宋体" w:eastAsia="宋体" w:cs="宋体"/>
                <w:color w:val="auto"/>
                <w:sz w:val="22"/>
                <w:szCs w:val="22"/>
              </w:rPr>
              <w:t>每年提供4次深度巡检，输出《系统状态综合报告》。专项针对目标系统的备份进程、日志完整性、数据可读性与可用性，以及数据生命周期策略</w:t>
            </w:r>
            <w:r>
              <w:rPr>
                <w:rFonts w:hint="eastAsia" w:ascii="宋体" w:hAnsi="宋体" w:eastAsia="宋体" w:cs="宋体"/>
                <w:color w:val="auto"/>
                <w:sz w:val="22"/>
                <w:szCs w:val="22"/>
                <w:lang w:eastAsia="zh-CN"/>
              </w:rPr>
              <w:t>，</w:t>
            </w:r>
            <w:r>
              <w:rPr>
                <w:rFonts w:ascii="宋体" w:hAnsi="宋体" w:eastAsia="宋体" w:cs="宋体"/>
                <w:color w:val="auto"/>
                <w:sz w:val="22"/>
                <w:szCs w:val="22"/>
              </w:rPr>
              <w:t>进行合规性审查，最终提交《</w:t>
            </w:r>
            <w:r>
              <w:rPr>
                <w:rFonts w:hint="eastAsia" w:ascii="宋体" w:hAnsi="宋体" w:eastAsia="宋体" w:cs="宋体"/>
                <w:color w:val="auto"/>
                <w:sz w:val="22"/>
                <w:szCs w:val="22"/>
                <w:lang w:val="en-US" w:eastAsia="zh-CN"/>
              </w:rPr>
              <w:t>容灾</w:t>
            </w:r>
            <w:r>
              <w:rPr>
                <w:rFonts w:ascii="宋体" w:hAnsi="宋体" w:eastAsia="宋体" w:cs="宋体"/>
                <w:color w:val="auto"/>
                <w:sz w:val="22"/>
                <w:szCs w:val="22"/>
              </w:rPr>
              <w:t>系统数据健康检查报告》，确保备份环境持续合规。</w:t>
            </w:r>
          </w:p>
          <w:p w14:paraId="2023D098">
            <w:pPr>
              <w:keepNext w:val="0"/>
              <w:keepLines w:val="0"/>
              <w:pageBreakBefore w:val="0"/>
              <w:widowControl/>
              <w:numPr>
                <w:ilvl w:val="0"/>
                <w:numId w:val="7"/>
              </w:numPr>
              <w:kinsoku/>
              <w:wordWrap/>
              <w:overflowPunct/>
              <w:topLinePunct w:val="0"/>
              <w:autoSpaceDE/>
              <w:autoSpaceDN/>
              <w:bidi w:val="0"/>
              <w:adjustRightInd/>
              <w:snapToGrid w:val="0"/>
              <w:textAlignment w:val="center"/>
              <w:rPr>
                <w:rFonts w:hint="eastAsia" w:ascii="宋体" w:hAnsi="宋体" w:eastAsia="宋体" w:cs="宋体"/>
                <w:color w:val="auto"/>
                <w:sz w:val="22"/>
                <w:szCs w:val="22"/>
                <w:lang w:val="en-US" w:eastAsia="zh-CN"/>
              </w:rPr>
            </w:pPr>
            <w:r>
              <w:rPr>
                <w:rFonts w:ascii="宋体" w:hAnsi="宋体" w:eastAsia="宋体" w:cs="宋体"/>
                <w:color w:val="auto"/>
                <w:sz w:val="22"/>
                <w:szCs w:val="22"/>
              </w:rPr>
              <w:t>每年实施1次灾备演练。通过构建生产模拟环境，定期利用最新备份集进行恢复验证，以实战化演练检验备份机制的可靠性及备份数据的可恢复性，确保RPO（恢复点目标）与RTO（恢复时间目标）达标。</w:t>
            </w:r>
          </w:p>
          <w:p w14:paraId="4E2B3A13">
            <w:pPr>
              <w:keepNext w:val="0"/>
              <w:keepLines w:val="0"/>
              <w:pageBreakBefore w:val="0"/>
              <w:widowControl/>
              <w:numPr>
                <w:ilvl w:val="0"/>
                <w:numId w:val="7"/>
              </w:numPr>
              <w:kinsoku/>
              <w:wordWrap/>
              <w:overflowPunct/>
              <w:topLinePunct w:val="0"/>
              <w:autoSpaceDE/>
              <w:autoSpaceDN/>
              <w:bidi w:val="0"/>
              <w:adjustRightInd/>
              <w:snapToGrid w:val="0"/>
              <w:textAlignment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对</w:t>
            </w:r>
            <w:r>
              <w:rPr>
                <w:rFonts w:ascii="宋体" w:hAnsi="宋体" w:eastAsia="宋体" w:cs="宋体"/>
                <w:color w:val="auto"/>
                <w:sz w:val="22"/>
                <w:szCs w:val="22"/>
              </w:rPr>
              <w:t>灾备系统运行状态、备份/恢复作业执行、容灾链路健康度、数据同步滞后量及资源池利用率</w:t>
            </w:r>
            <w:r>
              <w:rPr>
                <w:rFonts w:hint="eastAsia" w:ascii="宋体" w:hAnsi="宋体" w:eastAsia="宋体" w:cs="宋体"/>
                <w:color w:val="auto"/>
                <w:sz w:val="22"/>
                <w:szCs w:val="22"/>
                <w:lang w:eastAsia="zh-CN"/>
              </w:rPr>
              <w:t>，</w:t>
            </w:r>
            <w:r>
              <w:rPr>
                <w:rFonts w:ascii="宋体" w:hAnsi="宋体" w:eastAsia="宋体" w:cs="宋体"/>
                <w:color w:val="auto"/>
                <w:sz w:val="22"/>
                <w:szCs w:val="22"/>
              </w:rPr>
              <w:t>前置识别潜在风险</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快速</w:t>
            </w:r>
            <w:r>
              <w:rPr>
                <w:rFonts w:ascii="宋体" w:hAnsi="宋体" w:eastAsia="宋体" w:cs="宋体"/>
                <w:color w:val="auto"/>
                <w:sz w:val="24"/>
                <w:szCs w:val="24"/>
              </w:rPr>
              <w:t>研判</w:t>
            </w:r>
            <w:r>
              <w:rPr>
                <w:rFonts w:hint="eastAsia" w:ascii="宋体" w:hAnsi="宋体" w:eastAsia="宋体" w:cs="宋体"/>
                <w:color w:val="auto"/>
                <w:sz w:val="24"/>
                <w:szCs w:val="24"/>
                <w:lang w:eastAsia="zh-CN"/>
              </w:rPr>
              <w:t>、</w:t>
            </w:r>
            <w:r>
              <w:rPr>
                <w:rFonts w:hint="eastAsia" w:ascii="宋体" w:hAnsi="宋体" w:eastAsia="宋体" w:cs="宋体"/>
                <w:color w:val="auto"/>
                <w:sz w:val="22"/>
                <w:szCs w:val="22"/>
                <w:lang w:val="en-US" w:eastAsia="zh-CN"/>
              </w:rPr>
              <w:t>及时闭环处置，并</w:t>
            </w:r>
            <w:r>
              <w:rPr>
                <w:rFonts w:ascii="宋体" w:hAnsi="宋体" w:eastAsia="宋体" w:cs="宋体"/>
                <w:color w:val="auto"/>
                <w:sz w:val="22"/>
                <w:szCs w:val="22"/>
              </w:rPr>
              <w:t>基于现有灾备资源，</w:t>
            </w:r>
            <w:r>
              <w:rPr>
                <w:rFonts w:hint="eastAsia" w:ascii="宋体" w:hAnsi="宋体" w:eastAsia="宋体" w:cs="宋体"/>
                <w:color w:val="auto"/>
                <w:sz w:val="22"/>
                <w:szCs w:val="22"/>
                <w:lang w:val="en-US" w:eastAsia="zh-CN"/>
              </w:rPr>
              <w:t>提供</w:t>
            </w:r>
            <w:r>
              <w:rPr>
                <w:rFonts w:ascii="宋体" w:hAnsi="宋体" w:eastAsia="宋体" w:cs="宋体"/>
                <w:color w:val="auto"/>
                <w:sz w:val="22"/>
                <w:szCs w:val="22"/>
              </w:rPr>
              <w:t>涵盖开发测试环境的快速搭建及第三方业务系统数据抽取</w:t>
            </w:r>
            <w:r>
              <w:rPr>
                <w:rFonts w:hint="eastAsia" w:ascii="宋体" w:hAnsi="宋体" w:eastAsia="宋体" w:cs="宋体"/>
                <w:color w:val="auto"/>
                <w:sz w:val="22"/>
                <w:szCs w:val="22"/>
                <w:lang w:val="en-US" w:eastAsia="zh-CN"/>
              </w:rPr>
              <w:t>等运维服务</w:t>
            </w:r>
            <w:r>
              <w:rPr>
                <w:rFonts w:hint="eastAsia" w:ascii="宋体" w:hAnsi="宋体" w:eastAsia="宋体" w:cs="宋体"/>
                <w:color w:val="auto"/>
                <w:sz w:val="22"/>
                <w:szCs w:val="22"/>
                <w:lang w:eastAsia="zh-CN"/>
              </w:rPr>
              <w:t>。</w:t>
            </w:r>
          </w:p>
        </w:tc>
        <w:tc>
          <w:tcPr>
            <w:tcW w:w="1134" w:type="dxa"/>
            <w:shd w:val="clear" w:color="auto" w:fill="auto"/>
            <w:noWrap/>
            <w:vAlign w:val="center"/>
          </w:tcPr>
          <w:p w14:paraId="4E7ED878">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服务期内全年覆盖</w:t>
            </w:r>
          </w:p>
        </w:tc>
      </w:tr>
      <w:tr w14:paraId="0D9B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3" w:hRule="atLeast"/>
          <w:jc w:val="center"/>
        </w:trPr>
        <w:tc>
          <w:tcPr>
            <w:tcW w:w="675" w:type="dxa"/>
            <w:shd w:val="clear" w:color="auto" w:fill="auto"/>
            <w:noWrap/>
            <w:vAlign w:val="center"/>
          </w:tcPr>
          <w:p w14:paraId="623728AA">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sz w:val="22"/>
                <w:szCs w:val="22"/>
                <w:lang w:eastAsia="zh-CN"/>
              </w:rPr>
            </w:pPr>
            <w:r>
              <w:rPr>
                <w:rFonts w:hint="eastAsia" w:ascii="宋体" w:hAnsi="宋体" w:eastAsia="宋体" w:cs="宋体"/>
                <w:color w:val="auto"/>
                <w:kern w:val="0"/>
                <w:sz w:val="22"/>
                <w:szCs w:val="22"/>
                <w:lang w:bidi="ar"/>
              </w:rPr>
              <w:t>1</w:t>
            </w:r>
            <w:r>
              <w:rPr>
                <w:rFonts w:hint="eastAsia" w:ascii="宋体" w:hAnsi="宋体" w:eastAsia="宋体" w:cs="宋体"/>
                <w:color w:val="auto"/>
                <w:kern w:val="0"/>
                <w:sz w:val="22"/>
                <w:szCs w:val="22"/>
                <w:lang w:val="en-US" w:eastAsia="zh-CN" w:bidi="ar"/>
              </w:rPr>
              <w:t>2</w:t>
            </w:r>
          </w:p>
        </w:tc>
        <w:tc>
          <w:tcPr>
            <w:tcW w:w="1134" w:type="dxa"/>
            <w:shd w:val="clear" w:color="auto" w:fill="auto"/>
            <w:noWrap/>
            <w:vAlign w:val="center"/>
          </w:tcPr>
          <w:p w14:paraId="508E68CC">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运维监控服务</w:t>
            </w:r>
          </w:p>
        </w:tc>
        <w:tc>
          <w:tcPr>
            <w:tcW w:w="6521" w:type="dxa"/>
            <w:shd w:val="clear" w:color="auto" w:fill="auto"/>
            <w:noWrap/>
            <w:vAlign w:val="center"/>
          </w:tcPr>
          <w:p w14:paraId="2C813A28">
            <w:pPr>
              <w:keepNext w:val="0"/>
              <w:keepLines w:val="0"/>
              <w:pageBreakBefore w:val="0"/>
              <w:widowControl/>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1、全域全生命周期智能运维服务，提供设备、网络、系统、业务多维度一体化运维支撑，覆盖监控、告警、巡检、配置、资产、数据分析等完整运维场景，实现运维工作全生命周期闭环管控。可对各类告警信息、系统错误日志、业务调用链路端口及进程服务开展深度智能解析。</w:t>
            </w:r>
          </w:p>
          <w:p w14:paraId="3447C53D">
            <w:pPr>
              <w:keepNext w:val="0"/>
              <w:keepLines w:val="0"/>
              <w:pageBreakBefore w:val="0"/>
              <w:widowControl/>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2、业务系统精细化运维保障服务，支持业务系统分级差异化运维保障模式，适配不同等级业务的运维标准与保障力度。可自动生成业务拓扑图与服务器调用关系图，全景可视化展示软硬件资源运行健康状态，支持逐层下钻快速定位故障点位。同时提供告警周期统计、历史追溯、关联业务分析、时间轴复盘、运维台账记录等全维度精细化告警分析能力，全面提升业务故障处置与风险预判水平。</w:t>
            </w:r>
          </w:p>
          <w:p w14:paraId="0C1049B3">
            <w:pPr>
              <w:keepNext w:val="0"/>
              <w:keepLines w:val="0"/>
              <w:pageBreakBefore w:val="0"/>
              <w:widowControl/>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3、基础设施专项深度运维服务，提供Oracle（含RAC）数据库专业化深度运维服务，全覆盖监控数据库监听、表空间、会话、进程、阻塞、作业、备份、性能SQL、主备同步等核心指标，可精准锁定阻塞会话与异常SQL，自动匹配处置方案完成故障修复。同时支持服务器、虚拟机CPU、内存、磁盘IO等硬件资源全方位监控、阈值告警、历史数据回溯、进程资源排序检索及基线趋势研判，全方位保障基础设施稳定高效运行。</w:t>
            </w:r>
          </w:p>
          <w:p w14:paraId="42672CCB">
            <w:pPr>
              <w:keepNext w:val="0"/>
              <w:keepLines w:val="0"/>
              <w:pageBreakBefore w:val="0"/>
              <w:widowControl/>
              <w:kinsoku/>
              <w:wordWrap/>
              <w:overflowPunct/>
              <w:topLinePunct w:val="0"/>
              <w:autoSpaceDE/>
              <w:autoSpaceDN/>
              <w:bidi w:val="0"/>
              <w:adjustRightInd/>
              <w:snapToGrid w:val="0"/>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4、可视化态势展示与安全运维防护服务，配套提供运维可视化展示界面，集中呈现实时监控数据、告警信息、业务运行态势、资源使用状态等核心内容，实现运维态势全局可视、可控、可管。同步提供全方位安全运维防护服务，包含文件篡改监测、系统提权风险排查、可疑文件脱壳解密检测、网络攻击防御、恶意脚本查杀等能力，全方位排查处置安全风险，筑牢业务与基础设施安全运行屏障。</w:t>
            </w:r>
          </w:p>
        </w:tc>
        <w:tc>
          <w:tcPr>
            <w:tcW w:w="1134" w:type="dxa"/>
            <w:shd w:val="clear" w:color="auto" w:fill="auto"/>
            <w:noWrap/>
            <w:vAlign w:val="center"/>
          </w:tcPr>
          <w:p w14:paraId="76FB7717">
            <w:pPr>
              <w:keepNext w:val="0"/>
              <w:keepLines w:val="0"/>
              <w:pageBreakBefore w:val="0"/>
              <w:widowControl/>
              <w:kinsoku/>
              <w:wordWrap/>
              <w:overflowPunct/>
              <w:topLinePunct w:val="0"/>
              <w:autoSpaceDE/>
              <w:autoSpaceDN/>
              <w:bidi w:val="0"/>
              <w:adjustRightInd/>
              <w:snapToGrid w:val="0"/>
              <w:jc w:val="center"/>
              <w:textAlignment w:val="center"/>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bidi="ar"/>
              </w:rPr>
              <w:t>服务期内全年覆盖</w:t>
            </w:r>
          </w:p>
        </w:tc>
      </w:tr>
    </w:tbl>
    <w:p w14:paraId="5D050879">
      <w:pPr>
        <w:pStyle w:val="88"/>
        <w:keepNext w:val="0"/>
        <w:keepLines w:val="0"/>
        <w:pageBreakBefore w:val="0"/>
        <w:numPr>
          <w:numId w:val="0"/>
        </w:numPr>
        <w:kinsoku/>
        <w:overflowPunct/>
        <w:topLinePunct w:val="0"/>
        <w:autoSpaceDE/>
        <w:autoSpaceDN/>
        <w:bidi w:val="0"/>
        <w:adjustRightInd/>
        <w:snapToGrid/>
        <w:spacing w:before="0" w:line="240" w:lineRule="auto"/>
        <w:jc w:val="both"/>
        <w:textAlignment w:val="auto"/>
        <w:rPr>
          <w:rFonts w:hint="eastAsia" w:ascii="宋体" w:hAnsi="宋体" w:eastAsia="宋体" w:cs="宋体"/>
          <w:b/>
          <w:color w:val="auto"/>
          <w:sz w:val="28"/>
          <w:szCs w:val="28"/>
        </w:rPr>
      </w:pPr>
      <w:r>
        <w:rPr>
          <w:rFonts w:hint="eastAsia" w:ascii="宋体" w:hAnsi="宋体" w:eastAsia="宋体" w:cs="宋体"/>
          <w:b/>
          <w:color w:val="auto"/>
          <w:sz w:val="28"/>
          <w:szCs w:val="28"/>
          <w:lang w:eastAsia="zh-CN"/>
        </w:rPr>
        <w:t>三、</w:t>
      </w:r>
      <w:r>
        <w:rPr>
          <w:rFonts w:hint="eastAsia" w:ascii="宋体" w:hAnsi="宋体" w:eastAsia="宋体" w:cs="宋体"/>
          <w:b/>
          <w:color w:val="auto"/>
          <w:sz w:val="28"/>
          <w:szCs w:val="28"/>
        </w:rPr>
        <w:t>服务保障</w:t>
      </w:r>
    </w:p>
    <w:p w14:paraId="3CF4D9C1">
      <w:pPr>
        <w:pStyle w:val="18"/>
        <w:keepNext w:val="0"/>
        <w:keepLines w:val="0"/>
        <w:pageBreakBefore w:val="0"/>
        <w:widowControl/>
        <w:kinsoku/>
        <w:wordWrap w:val="0"/>
        <w:overflowPunct/>
        <w:topLinePunct w:val="0"/>
        <w:autoSpaceDE/>
        <w:autoSpaceDN/>
        <w:bidi w:val="0"/>
        <w:adjustRightInd/>
        <w:snapToGrid/>
        <w:spacing w:line="240" w:lineRule="auto"/>
        <w:ind w:left="210" w:leftChars="1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工程师提供现场技术服务，在甲方人员的配合下进行安全专项运维服务。</w:t>
      </w:r>
    </w:p>
    <w:p w14:paraId="1EEDE66B">
      <w:pPr>
        <w:pStyle w:val="18"/>
        <w:keepNext w:val="0"/>
        <w:keepLines w:val="0"/>
        <w:pageBreakBefore w:val="0"/>
        <w:widowControl/>
        <w:kinsoku/>
        <w:wordWrap w:val="0"/>
        <w:overflowPunct/>
        <w:topLinePunct w:val="0"/>
        <w:autoSpaceDE/>
        <w:autoSpaceDN/>
        <w:bidi w:val="0"/>
        <w:adjustRightInd/>
        <w:snapToGrid/>
        <w:spacing w:line="240" w:lineRule="auto"/>
        <w:ind w:left="210" w:leftChars="1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项目完成后在5个工作日内乙方向甲方提供对应的检测报告。</w:t>
      </w:r>
    </w:p>
    <w:p w14:paraId="65C3CF34">
      <w:pPr>
        <w:keepNext w:val="0"/>
        <w:keepLines w:val="0"/>
        <w:pageBreakBefore w:val="0"/>
        <w:kinsoku/>
        <w:overflowPunct/>
        <w:topLinePunct w:val="0"/>
        <w:autoSpaceDE/>
        <w:autoSpaceDN/>
        <w:bidi w:val="0"/>
        <w:adjustRightInd/>
        <w:snapToGrid/>
        <w:spacing w:line="240" w:lineRule="auto"/>
        <w:ind w:firstLine="281" w:firstLineChars="100"/>
        <w:jc w:val="left"/>
        <w:textAlignment w:val="auto"/>
        <w:rPr>
          <w:rFonts w:hint="eastAsia" w:ascii="宋体" w:hAnsi="宋体" w:eastAsia="宋体" w:cs="宋体"/>
          <w:color w:val="auto"/>
          <w:kern w:val="0"/>
          <w:sz w:val="28"/>
          <w:szCs w:val="28"/>
        </w:rPr>
      </w:pPr>
      <w:r>
        <w:rPr>
          <w:rFonts w:hint="eastAsia" w:ascii="宋体" w:hAnsi="宋体" w:eastAsia="宋体" w:cs="宋体"/>
          <w:b/>
          <w:color w:val="auto"/>
          <w:sz w:val="28"/>
          <w:szCs w:val="28"/>
        </w:rPr>
        <w:t>响应速度</w:t>
      </w:r>
    </w:p>
    <w:p w14:paraId="27916A8F">
      <w:pPr>
        <w:pStyle w:val="18"/>
        <w:keepNext w:val="0"/>
        <w:keepLines w:val="0"/>
        <w:pageBreakBefore w:val="0"/>
        <w:widowControl/>
        <w:numPr>
          <w:ilvl w:val="0"/>
          <w:numId w:val="8"/>
        </w:numPr>
        <w:kinsoku/>
        <w:wordWrap w:val="0"/>
        <w:overflowPunct/>
        <w:topLinePunct w:val="0"/>
        <w:autoSpaceDE/>
        <w:autoSpaceDN/>
        <w:bidi w:val="0"/>
        <w:adjustRightInd/>
        <w:snapToGrid/>
        <w:spacing w:line="24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服务时间：提供 7×24小时安全时间响应服务。</w:t>
      </w:r>
    </w:p>
    <w:p w14:paraId="749A4A7A">
      <w:pPr>
        <w:pStyle w:val="18"/>
        <w:keepNext w:val="0"/>
        <w:keepLines w:val="0"/>
        <w:pageBreakBefore w:val="0"/>
        <w:widowControl/>
        <w:numPr>
          <w:ilvl w:val="0"/>
          <w:numId w:val="8"/>
        </w:numPr>
        <w:kinsoku/>
        <w:wordWrap w:val="0"/>
        <w:overflowPunct/>
        <w:topLinePunct w:val="0"/>
        <w:autoSpaceDE/>
        <w:autoSpaceDN/>
        <w:bidi w:val="0"/>
        <w:adjustRightInd/>
        <w:snapToGrid/>
        <w:spacing w:line="240" w:lineRule="auto"/>
        <w:textAlignment w:val="auto"/>
        <w:rPr>
          <w:rFonts w:hint="eastAsia" w:ascii="宋体" w:hAnsi="宋体" w:eastAsia="宋体" w:cs="宋体"/>
          <w:b/>
          <w:color w:val="auto"/>
          <w:sz w:val="28"/>
          <w:szCs w:val="28"/>
        </w:rPr>
      </w:pPr>
      <w:r>
        <w:rPr>
          <w:rFonts w:hint="eastAsia" w:ascii="宋体" w:hAnsi="宋体" w:eastAsia="宋体" w:cs="宋体"/>
          <w:color w:val="auto"/>
          <w:sz w:val="28"/>
          <w:szCs w:val="28"/>
        </w:rPr>
        <w:t>紧急安全事件:30分钟内远程响应,4小时内到达现场</w:t>
      </w:r>
    </w:p>
    <w:p w14:paraId="26363F9E">
      <w:pPr>
        <w:pStyle w:val="88"/>
        <w:keepNext w:val="0"/>
        <w:keepLines w:val="0"/>
        <w:pageBreakBefore w:val="0"/>
        <w:numPr>
          <w:ilvl w:val="0"/>
          <w:numId w:val="0"/>
        </w:numPr>
        <w:kinsoku/>
        <w:overflowPunct/>
        <w:topLinePunct w:val="0"/>
        <w:autoSpaceDE/>
        <w:autoSpaceDN/>
        <w:bidi w:val="0"/>
        <w:adjustRightInd/>
        <w:snapToGrid/>
        <w:spacing w:before="0" w:line="240" w:lineRule="auto"/>
        <w:ind w:firstLine="281" w:firstLineChars="100"/>
        <w:jc w:val="both"/>
        <w:textAlignment w:val="auto"/>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服务团队</w:t>
      </w:r>
    </w:p>
    <w:p w14:paraId="2BFDD07A">
      <w:pPr>
        <w:keepNext w:val="0"/>
        <w:keepLines w:val="0"/>
        <w:pageBreakBefore w:val="0"/>
        <w:numPr>
          <w:ilvl w:val="0"/>
          <w:numId w:val="9"/>
        </w:numPr>
        <w:kinsoku/>
        <w:overflowPunct/>
        <w:topLinePunct w:val="0"/>
        <w:autoSpaceDE/>
        <w:autoSpaceDN/>
        <w:bidi w:val="0"/>
        <w:adjustRightInd/>
        <w:snapToGrid/>
        <w:spacing w:line="240" w:lineRule="auto"/>
        <w:ind w:left="425" w:leftChars="0" w:hanging="425" w:firstLineChars="0"/>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技术能力</w:t>
      </w:r>
      <w:r>
        <w:rPr>
          <w:rFonts w:hint="eastAsia" w:ascii="宋体" w:hAnsi="宋体" w:eastAsia="宋体" w:cs="宋体"/>
          <w:color w:val="auto"/>
          <w:sz w:val="28"/>
          <w:szCs w:val="28"/>
        </w:rPr>
        <w:t>要求：针对本项目</w:t>
      </w:r>
      <w:r>
        <w:rPr>
          <w:rFonts w:hint="eastAsia" w:ascii="宋体" w:hAnsi="宋体" w:eastAsia="宋体" w:cs="宋体"/>
          <w:color w:val="auto"/>
          <w:sz w:val="28"/>
          <w:szCs w:val="28"/>
          <w:lang w:val="en-US" w:eastAsia="zh-CN"/>
        </w:rPr>
        <w:t>需</w:t>
      </w:r>
      <w:r>
        <w:rPr>
          <w:rFonts w:hint="eastAsia" w:ascii="宋体" w:hAnsi="宋体" w:eastAsia="宋体" w:cs="宋体"/>
          <w:color w:val="auto"/>
          <w:sz w:val="28"/>
          <w:szCs w:val="28"/>
        </w:rPr>
        <w:t>提供一名项目经理，主要服务内容包含项目的服务计划、项目进度、问题处置、沟通协调、汇报总结等工作，做好本项目的交付管理工作</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项目团队具有信息安全保障应急服务认证证书、信息安全运维认证证书、HCIE证书、软考网络工程师证书。</w:t>
      </w:r>
    </w:p>
    <w:p w14:paraId="0E86F604">
      <w:pPr>
        <w:keepNext w:val="0"/>
        <w:keepLines w:val="0"/>
        <w:pageBreakBefore w:val="0"/>
        <w:numPr>
          <w:ilvl w:val="0"/>
          <w:numId w:val="9"/>
        </w:numPr>
        <w:kinsoku/>
        <w:overflowPunct/>
        <w:topLinePunct w:val="0"/>
        <w:autoSpaceDE/>
        <w:autoSpaceDN/>
        <w:bidi w:val="0"/>
        <w:adjustRightInd/>
        <w:snapToGrid/>
        <w:spacing w:line="240" w:lineRule="auto"/>
        <w:ind w:left="425" w:leftChars="0" w:hanging="425" w:firstLineChars="0"/>
        <w:textAlignment w:val="auto"/>
        <w:rPr>
          <w:rFonts w:hint="eastAsia" w:cs="Times New Roman"/>
          <w:b/>
          <w:bCs/>
          <w:color w:val="000000"/>
          <w:kern w:val="0"/>
          <w:sz w:val="28"/>
          <w:szCs w:val="28"/>
          <w:lang w:eastAsia="zh-CN"/>
        </w:rPr>
      </w:pPr>
      <w:r>
        <w:rPr>
          <w:rFonts w:hint="eastAsia" w:ascii="宋体" w:hAnsi="宋体" w:eastAsia="宋体" w:cs="宋体"/>
          <w:color w:val="auto"/>
          <w:sz w:val="28"/>
          <w:szCs w:val="28"/>
        </w:rPr>
        <w:t>履行保密义务</w:t>
      </w:r>
      <w:r>
        <w:rPr>
          <w:rFonts w:hint="eastAsia" w:ascii="宋体" w:hAnsi="宋体" w:eastAsia="宋体" w:cs="宋体"/>
          <w:color w:val="auto"/>
          <w:sz w:val="28"/>
          <w:szCs w:val="28"/>
          <w:lang w:val="en-US" w:eastAsia="zh-CN"/>
        </w:rPr>
        <w:t>要求</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针对上饶市人民医院任何信息资料进行严格保密，签署保密协议，为上饶市人民医院信息进行保密，在未获得上饶市人民医院许可的情况下不得以任何形式转移、复制、传播上饶市人民医院任何的数据及书面资料，若中标人泄露上饶市人民医院信息及保密资料应承担相应的法律责任及赔偿责任。</w:t>
      </w:r>
    </w:p>
    <w:p w14:paraId="7AB3D748">
      <w:pPr>
        <w:pStyle w:val="18"/>
        <w:widowControl/>
        <w:numPr>
          <w:ilvl w:val="0"/>
          <w:numId w:val="0"/>
        </w:numPr>
        <w:wordWrap w:val="0"/>
        <w:ind w:left="140" w:leftChars="0"/>
        <w:rPr>
          <w:rFonts w:hint="eastAsia" w:cs="Times New Roman"/>
          <w:b/>
          <w:bCs/>
          <w:color w:val="000000"/>
          <w:kern w:val="0"/>
          <w:sz w:val="28"/>
          <w:szCs w:val="28"/>
          <w:lang w:eastAsia="zh-CN"/>
        </w:rPr>
      </w:pPr>
      <w:r>
        <w:rPr>
          <w:rFonts w:hint="eastAsia" w:cs="Times New Roman"/>
          <w:b/>
          <w:bCs/>
          <w:color w:val="000000"/>
          <w:kern w:val="0"/>
          <w:sz w:val="28"/>
          <w:szCs w:val="28"/>
          <w:lang w:eastAsia="zh-CN"/>
        </w:rPr>
        <w:t>四、预算与付款</w:t>
      </w:r>
    </w:p>
    <w:p w14:paraId="5387B94C">
      <w:pPr>
        <w:pStyle w:val="18"/>
        <w:widowControl/>
        <w:numPr>
          <w:ilvl w:val="0"/>
          <w:numId w:val="0"/>
        </w:numPr>
        <w:wordWrap w:val="0"/>
        <w:ind w:leftChars="100"/>
        <w:rPr>
          <w:rFonts w:hint="default" w:cs="Times New Roman"/>
          <w:b w:val="0"/>
          <w:bCs w:val="0"/>
          <w:color w:val="000000"/>
          <w:kern w:val="0"/>
          <w:sz w:val="28"/>
          <w:szCs w:val="28"/>
          <w:lang w:val="en-US" w:eastAsia="zh-CN"/>
        </w:rPr>
      </w:pPr>
      <w:r>
        <w:rPr>
          <w:rFonts w:hint="eastAsia" w:ascii="宋体" w:hAnsi="宋体" w:eastAsia="宋体" w:cs="Times New Roman"/>
          <w:b w:val="0"/>
          <w:bCs w:val="0"/>
          <w:color w:val="000000"/>
          <w:kern w:val="0"/>
          <w:sz w:val="28"/>
          <w:szCs w:val="28"/>
        </w:rPr>
        <w:t>本项目总预算为</w:t>
      </w:r>
      <w:r>
        <w:rPr>
          <w:rFonts w:hint="eastAsia" w:cs="Times New Roman"/>
          <w:b w:val="0"/>
          <w:bCs w:val="0"/>
          <w:color w:val="000000"/>
          <w:kern w:val="0"/>
          <w:sz w:val="28"/>
          <w:szCs w:val="28"/>
          <w:lang w:val="en-US" w:eastAsia="zh-CN"/>
        </w:rPr>
        <w:t>30万元/年</w:t>
      </w:r>
      <w:r>
        <w:rPr>
          <w:rFonts w:hint="eastAsia" w:ascii="宋体" w:hAnsi="宋体" w:eastAsia="宋体" w:cs="Times New Roman"/>
          <w:b w:val="0"/>
          <w:bCs w:val="0"/>
          <w:color w:val="000000"/>
          <w:kern w:val="0"/>
          <w:sz w:val="28"/>
          <w:szCs w:val="28"/>
        </w:rPr>
        <w:t>，报价不得超过该金额</w:t>
      </w:r>
      <w:r>
        <w:rPr>
          <w:rFonts w:hint="eastAsia" w:cs="Times New Roman"/>
          <w:b w:val="0"/>
          <w:bCs w:val="0"/>
          <w:color w:val="000000"/>
          <w:kern w:val="0"/>
          <w:sz w:val="28"/>
          <w:szCs w:val="28"/>
          <w:lang w:eastAsia="zh-CN"/>
        </w:rPr>
        <w:t>，</w:t>
      </w:r>
      <w:r>
        <w:rPr>
          <w:rFonts w:hint="eastAsia" w:cs="Times New Roman"/>
          <w:b w:val="0"/>
          <w:bCs w:val="0"/>
          <w:color w:val="000000"/>
          <w:kern w:val="0"/>
          <w:sz w:val="28"/>
          <w:szCs w:val="28"/>
          <w:lang w:val="en-US" w:eastAsia="zh-CN"/>
        </w:rPr>
        <w:t>服务结束后支付合同金额的100%。</w:t>
      </w:r>
    </w:p>
    <w:p w14:paraId="025D87D7">
      <w:pPr>
        <w:pStyle w:val="18"/>
        <w:widowControl/>
        <w:numPr>
          <w:ilvl w:val="0"/>
          <w:numId w:val="0"/>
        </w:numPr>
        <w:wordWrap w:val="0"/>
        <w:rPr>
          <w:rFonts w:hint="eastAsia" w:ascii="宋体" w:hAnsi="宋体" w:eastAsia="宋体" w:cs="Times New Roman"/>
          <w:b/>
          <w:bCs/>
          <w:color w:val="000000"/>
          <w:kern w:val="0"/>
          <w:sz w:val="28"/>
          <w:szCs w:val="28"/>
        </w:rPr>
      </w:pPr>
      <w:r>
        <w:rPr>
          <w:rFonts w:hint="eastAsia" w:cs="Times New Roman"/>
          <w:b/>
          <w:bCs/>
          <w:color w:val="000000"/>
          <w:kern w:val="0"/>
          <w:sz w:val="28"/>
          <w:szCs w:val="28"/>
          <w:lang w:eastAsia="zh-CN"/>
        </w:rPr>
        <w:t>五</w:t>
      </w:r>
      <w:r>
        <w:rPr>
          <w:rFonts w:hint="eastAsia" w:ascii="宋体" w:hAnsi="宋体" w:eastAsia="宋体" w:cs="Times New Roman"/>
          <w:b/>
          <w:bCs/>
          <w:color w:val="000000"/>
          <w:kern w:val="0"/>
          <w:sz w:val="28"/>
          <w:szCs w:val="28"/>
        </w:rPr>
        <w:t>、投标文件要求</w:t>
      </w:r>
    </w:p>
    <w:p w14:paraId="0881EF5C">
      <w:pPr>
        <w:pStyle w:val="18"/>
        <w:widowControl/>
        <w:numPr>
          <w:ilvl w:val="0"/>
          <w:numId w:val="0"/>
        </w:numPr>
        <w:wordWrap w:val="0"/>
        <w:ind w:leftChars="100"/>
        <w:rPr>
          <w:rFonts w:hint="eastAsia" w:ascii="宋体" w:hAnsi="宋体" w:eastAsia="宋体" w:cs="Times New Roman"/>
          <w:b w:val="0"/>
          <w:bCs w:val="0"/>
          <w:color w:val="000000"/>
          <w:kern w:val="0"/>
          <w:sz w:val="28"/>
          <w:szCs w:val="28"/>
        </w:rPr>
      </w:pPr>
      <w:r>
        <w:rPr>
          <w:rFonts w:hint="eastAsia" w:ascii="宋体" w:hAnsi="宋体" w:eastAsia="宋体" w:cs="Times New Roman"/>
          <w:b w:val="0"/>
          <w:bCs w:val="0"/>
          <w:color w:val="000000"/>
          <w:kern w:val="0"/>
          <w:sz w:val="28"/>
          <w:szCs w:val="28"/>
        </w:rPr>
        <w:t>营业执照复印件（加盖公章）；</w:t>
      </w:r>
    </w:p>
    <w:p w14:paraId="6F43DB00">
      <w:pPr>
        <w:pStyle w:val="18"/>
        <w:widowControl/>
        <w:numPr>
          <w:ilvl w:val="0"/>
          <w:numId w:val="0"/>
        </w:numPr>
        <w:wordWrap w:val="0"/>
        <w:ind w:leftChars="100"/>
        <w:rPr>
          <w:rFonts w:hint="eastAsia" w:ascii="宋体" w:hAnsi="宋体" w:eastAsia="宋体" w:cs="Times New Roman"/>
          <w:b w:val="0"/>
          <w:bCs w:val="0"/>
          <w:color w:val="000000"/>
          <w:kern w:val="0"/>
          <w:sz w:val="28"/>
          <w:szCs w:val="28"/>
        </w:rPr>
      </w:pPr>
      <w:r>
        <w:rPr>
          <w:rFonts w:hint="eastAsia" w:ascii="宋体" w:hAnsi="宋体" w:eastAsia="宋体" w:cs="Times New Roman"/>
          <w:b w:val="0"/>
          <w:bCs w:val="0"/>
          <w:color w:val="000000"/>
          <w:kern w:val="0"/>
          <w:sz w:val="28"/>
          <w:szCs w:val="28"/>
        </w:rPr>
        <w:t>售后服务承诺函（明确响应时间、服务内容、联系方式）；</w:t>
      </w:r>
    </w:p>
    <w:p w14:paraId="7E6041D2">
      <w:pPr>
        <w:pStyle w:val="18"/>
        <w:widowControl/>
        <w:numPr>
          <w:ilvl w:val="0"/>
          <w:numId w:val="0"/>
        </w:numPr>
        <w:wordWrap w:val="0"/>
        <w:ind w:leftChars="100"/>
        <w:rPr>
          <w:rFonts w:hint="eastAsia" w:ascii="宋体" w:hAnsi="宋体" w:eastAsia="宋体" w:cs="Times New Roman"/>
          <w:b w:val="0"/>
          <w:bCs w:val="0"/>
          <w:color w:val="000000"/>
          <w:kern w:val="0"/>
          <w:sz w:val="28"/>
          <w:szCs w:val="28"/>
          <w:lang w:val="en-US" w:eastAsia="zh-CN"/>
        </w:rPr>
      </w:pPr>
      <w:r>
        <w:rPr>
          <w:rFonts w:hint="eastAsia" w:ascii="宋体" w:hAnsi="宋体" w:eastAsia="宋体" w:cs="Times New Roman"/>
          <w:b w:val="0"/>
          <w:bCs w:val="0"/>
          <w:color w:val="000000"/>
          <w:kern w:val="0"/>
          <w:sz w:val="28"/>
          <w:szCs w:val="28"/>
        </w:rPr>
        <w:t>完整的报价清单及项目实施方案。</w:t>
      </w:r>
    </w:p>
    <w:sectPr>
      <w:headerReference r:id="rId3" w:type="default"/>
      <w:footerReference r:id="rId4" w:type="default"/>
      <w:pgSz w:w="11906" w:h="16838"/>
      <w:pgMar w:top="1440" w:right="1440" w:bottom="144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F5A25">
    <w:pPr>
      <w:pStyle w:val="12"/>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3752215</wp:posOffset>
              </wp:positionH>
              <wp:positionV relativeFrom="page">
                <wp:posOffset>9933305</wp:posOffset>
              </wp:positionV>
              <wp:extent cx="57150" cy="127000"/>
              <wp:effectExtent l="0" t="0" r="0" b="0"/>
              <wp:wrapNone/>
              <wp:docPr id="101" name="文本框 3"/>
              <wp:cNvGraphicFramePr/>
              <a:graphic xmlns:a="http://schemas.openxmlformats.org/drawingml/2006/main">
                <a:graphicData uri="http://schemas.microsoft.com/office/word/2010/wordprocessingShape">
                  <wps:wsp>
                    <wps:cNvSpPr txBox="1"/>
                    <wps:spPr>
                      <a:xfrm>
                        <a:off x="0" y="0"/>
                        <a:ext cx="57150" cy="127000"/>
                      </a:xfrm>
                      <a:prstGeom prst="rect">
                        <a:avLst/>
                      </a:prstGeom>
                      <a:noFill/>
                      <a:ln>
                        <a:noFill/>
                      </a:ln>
                      <a:effectLst/>
                    </wps:spPr>
                    <wps:txbx>
                      <w:txbxContent>
                        <w:p w14:paraId="44F57483">
                          <w:pPr>
                            <w:spacing w:line="199" w:lineRule="exact"/>
                            <w:rPr>
                              <w:rFonts w:ascii="Times New Roman"/>
                              <w:sz w:val="18"/>
                            </w:rPr>
                          </w:pPr>
                          <w:r>
                            <w:rPr>
                              <w:rFonts w:ascii="Times New Roman"/>
                              <w:sz w:val="18"/>
                            </w:rPr>
                            <w:t>1</w:t>
                          </w:r>
                        </w:p>
                      </w:txbxContent>
                    </wps:txbx>
                    <wps:bodyPr lIns="0" tIns="0" rIns="0" bIns="0" upright="1"/>
                  </wps:wsp>
                </a:graphicData>
              </a:graphic>
            </wp:anchor>
          </w:drawing>
        </mc:Choice>
        <mc:Fallback>
          <w:pict>
            <v:shape id="文本框 3" o:spid="_x0000_s1026" o:spt="202" type="#_x0000_t202" style="position:absolute;left:0pt;margin-left:295.45pt;margin-top:782.15pt;height:10pt;width:4.5pt;mso-position-horizontal-relative:page;mso-position-vertical-relative:page;z-index:-251655168;mso-width-relative:page;mso-height-relative:page;" filled="f" stroked="f" coordsize="21600,21600" o:gfxdata="UEsDBAoAAAAAAIdO4kAAAAAAAAAAAAAAAAAEAAAAZHJzL1BLAwQUAAAACACHTuJAp9foitkAAAAN&#10;AQAADwAAAGRycy9kb3ducmV2LnhtbE2PzU7DMBCE70i8g7VI3KhdIFEd4lQIwQkJkYYDRyd2E6vx&#10;OsTuD2/P9lSO+81odqZcn/zIDnaOLqCC5UIAs9gF47BX8NW83a2AxaTR6DGgVfBrI6yr66tSFyYc&#10;sbaHTeoZhWAstIIhpangPHaD9TouwmSRtG2YvU50zj03sz5SuB/5vRA599ohfRj0ZF8G2+02e6/g&#10;+RvrV/fz0X7W29o1jRT4nu+Uur1ZiidgyZ7SxQzn+lQdKurUhj2ayEYFmRSSrCRk+eMDMLJkUhJq&#10;z2hFiFcl/7+i+gNQSwMEFAAAAAgAh07iQCe/4Hm/AQAAgAMAAA4AAABkcnMvZTJvRG9jLnhtbK1T&#10;S27bMBDdF8gdCO5rSS7SFILlAIGRoECRFkh7AJoiLQL8gUNb8gXSG3TVTfc9l8/RISW5abrJIhtq&#10;ODN8M+/NaHU9GE0OIoBytqHVoqREWO5aZXcN/fb19u0HSiAy2zLtrGjoUQC9Xl+8WfW+FkvXOd2K&#10;QBDEQt37hnYx+roogHfCMFg4LywGpQuGRbyGXdEG1iO60cWyLN8XvQutD44LAPRuxiCdEMNLAJ2U&#10;iouN43sjbBxRg9AsIiXolAe6zt1KKXj8LCWISHRDkWnMJxZBe5vOYr1i9S4w3yk+tcBe0sIzToYp&#10;i0XPUBsWGdkH9R+UUTw4cDIuuDPFSCQrgiyq8pk2Dx3zInNBqcGfRYfXg+X3hy+BqBY3oawosczg&#10;yE8/vp9+/j79eiTvkkC9hxrzHjxmxuHGDZg8+wGdifcgg0lfZEQwjvIez/KKIRKOzsur6hIDHCPV&#10;8qoss/rF37c+QLwTzpBkNDTg8LKm7PAJIvaBqXNKKmXdrdI6D1DbfxyYOHpE3oDpdaIxtpusOGyH&#10;idvWtUekpj9aFDYtyWyE2djOxt4HteuwuSxAkYBwMLm1aYnS5J/e0X7646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fX6IrZAAAADQEAAA8AAAAAAAAAAQAgAAAAIgAAAGRycy9kb3ducmV2Lnht&#10;bFBLAQIUABQAAAAIAIdO4kAnv+B5vwEAAIADAAAOAAAAAAAAAAEAIAAAACgBAABkcnMvZTJvRG9j&#10;LnhtbFBLBQYAAAAABgAGAFkBAABZBQAAAAA=&#10;">
              <v:fill on="f" focussize="0,0"/>
              <v:stroke on="f"/>
              <v:imagedata o:title=""/>
              <o:lock v:ext="edit" aspectratio="f"/>
              <v:textbox inset="0mm,0mm,0mm,0mm">
                <w:txbxContent>
                  <w:p w14:paraId="44F57483">
                    <w:pPr>
                      <w:spacing w:line="199" w:lineRule="exact"/>
                      <w:rPr>
                        <w:rFonts w:ascii="Times New Roman"/>
                        <w:sz w:val="18"/>
                      </w:rPr>
                    </w:pPr>
                    <w:r>
                      <w:rPr>
                        <w:rFonts w:ascii="Times New Roman"/>
                        <w:sz w:val="18"/>
                      </w:rPr>
                      <w:t>1</w:t>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3780790</wp:posOffset>
              </wp:positionH>
              <wp:positionV relativeFrom="page">
                <wp:posOffset>9932670</wp:posOffset>
              </wp:positionV>
              <wp:extent cx="0" cy="130810"/>
              <wp:effectExtent l="27940" t="0" r="29210" b="2540"/>
              <wp:wrapNone/>
              <wp:docPr id="102" name="直线 4"/>
              <wp:cNvGraphicFramePr/>
              <a:graphic xmlns:a="http://schemas.openxmlformats.org/drawingml/2006/main">
                <a:graphicData uri="http://schemas.microsoft.com/office/word/2010/wordprocessingShape">
                  <wps:wsp>
                    <wps:cNvCnPr/>
                    <wps:spPr>
                      <a:xfrm>
                        <a:off x="0" y="0"/>
                        <a:ext cx="0" cy="130810"/>
                      </a:xfrm>
                      <a:prstGeom prst="line">
                        <a:avLst/>
                      </a:prstGeom>
                      <a:ln w="56388" cap="flat" cmpd="sng">
                        <a:solidFill>
                          <a:srgbClr val="FFFFFF"/>
                        </a:solidFill>
                        <a:prstDash val="solid"/>
                        <a:headEnd type="none" w="med" len="med"/>
                        <a:tailEnd type="none" w="med" len="med"/>
                      </a:ln>
                      <a:effectLst/>
                    </wps:spPr>
                    <wps:bodyPr/>
                  </wps:wsp>
                </a:graphicData>
              </a:graphic>
            </wp:anchor>
          </w:drawing>
        </mc:Choice>
        <mc:Fallback>
          <w:pict>
            <v:line id="直线 4" o:spid="_x0000_s1026" o:spt="20" style="position:absolute;left:0pt;margin-left:297.7pt;margin-top:782.1pt;height:10.3pt;width:0pt;mso-position-horizontal-relative:page;mso-position-vertical-relative:page;z-index:-251654144;mso-width-relative:page;mso-height-relative:page;" filled="f" stroked="t" coordsize="21600,21600" o:gfxdata="UEsDBAoAAAAAAIdO4kAAAAAAAAAAAAAAAAAEAAAAZHJzL1BLAwQUAAAACACHTuJA+sg5vdsAAAAN&#10;AQAADwAAAGRycy9kb3ducmV2LnhtbE2PS0/DMBCE70j8B2uRuFGnTVKFEKcHJCRERKWWh8TNjZck&#10;wl5Hsfvg37MVBzjuzOzst9Xq5Kw44BQGTwrmswQEUuvNQJ2C15eHmwJEiJqMtp5QwTcGWNWXF5Uu&#10;jT/SBg/b2AkuoVBqBX2MYyllaHt0Osz8iMTep5+cjjxOnTSTPnK5s3KRJEvp9EB8odcj3vfYfm33&#10;jjGeHpt1+hY/zHP3vk6bhuw0pkpdX82TOxART/EvDGd83oGamXZ+TyYIqyC/zTOOspEvswUIjvxK&#10;u7NUZAXIupL/v6h/AFBLAwQUAAAACACHTuJAE6PbVecBAADfAwAADgAAAGRycy9lMm9Eb2MueG1s&#10;rVPNjtMwEL4j8Q6W7zRpF1ZV1HQPW8oFQSXYB5jaTmPJf/J4m/ZZeA1OXHicfQ3GTijLcumBHJzx&#10;ePzNfN+MV3cna9hRRdTetXw+qzlTTnip3aHlD1+3b5acYQInwXinWn5WyO/Wr1+thtCohe+9kSoy&#10;AnHYDKHlfUqhqSoUvbKAMx+Uo8PORwuJtvFQyQgDoVtTLer6thp8lCF6oRDJuxkP+YQYrwH0XaeF&#10;2njxaJVLI2pUBhJRwl4H5OtSbdcpkT53HarETMuJaSorJSF7n9dqvYLmECH0WkwlwDUlvOBkQTtK&#10;eoHaQAL2GPU/UFaL6NF3aSa8rUYiRRFiMa9faPOlh6AKF5Iaw0V0/H+w4tNxF5mWNAn1gjMHllr+&#10;9O3704+f7G1WZwjYUNC928Vph2EXM9VTF23+Ewl2KoqeL4qqU2JidAryzm/q5byIXf25FyKmD8pb&#10;lo2WG+0yV2jg+BET5aLQ3yHZbRwbWv7u9mZJAyqAJq+jjpNpA1WP7lAuozdabrUx+QrGw/7eRHYE&#10;6v62fJkSAf8VlrNsAPsxrhyNc9ErkO+dZOkcSBVHz4HnGqySnBlFrydbBAhNAm2uiaTUxuULqszm&#10;RDRrPKqarb2X5yJ2lXfU91LxNKN5sJ7vyX7+Lt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rI&#10;Ob3bAAAADQEAAA8AAAAAAAAAAQAgAAAAIgAAAGRycy9kb3ducmV2LnhtbFBLAQIUABQAAAAIAIdO&#10;4kATo9tV5wEAAN8DAAAOAAAAAAAAAAEAIAAAACoBAABkcnMvZTJvRG9jLnhtbFBLBQYAAAAABgAG&#10;AFkBAACDBQAAAAA=&#10;">
              <v:fill on="f" focussize="0,0"/>
              <v:stroke weight="4.44pt" color="#FFFFFF" joinstyle="round"/>
              <v:imagedata o:title=""/>
              <o:lock v:ext="edit" aspectratio="f"/>
            </v:lin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3643630</wp:posOffset>
              </wp:positionH>
              <wp:positionV relativeFrom="page">
                <wp:posOffset>9920605</wp:posOffset>
              </wp:positionV>
              <wp:extent cx="274320" cy="153670"/>
              <wp:effectExtent l="0" t="0" r="0" b="0"/>
              <wp:wrapNone/>
              <wp:docPr id="103" name="文本框 5"/>
              <wp:cNvGraphicFramePr/>
              <a:graphic xmlns:a="http://schemas.openxmlformats.org/drawingml/2006/main">
                <a:graphicData uri="http://schemas.microsoft.com/office/word/2010/wordprocessingShape">
                  <wps:wsp>
                    <wps:cNvSpPr txBox="1"/>
                    <wps:spPr>
                      <a:xfrm>
                        <a:off x="0" y="0"/>
                        <a:ext cx="274320" cy="153670"/>
                      </a:xfrm>
                      <a:prstGeom prst="rect">
                        <a:avLst/>
                      </a:prstGeom>
                      <a:noFill/>
                      <a:ln>
                        <a:noFill/>
                      </a:ln>
                      <a:effectLst/>
                    </wps:spPr>
                    <wps:txbx>
                      <w:txbxContent>
                        <w:p w14:paraId="6D9CC88F">
                          <w:pPr>
                            <w:spacing w:before="14"/>
                            <w:ind w:left="2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- 21 -</w:t>
                          </w:r>
                          <w:r>
                            <w:fldChar w:fldCharType="end"/>
                          </w:r>
                        </w:p>
                      </w:txbxContent>
                    </wps:txbx>
                    <wps:bodyPr lIns="0" tIns="0" rIns="0" bIns="0" upright="1"/>
                  </wps:wsp>
                </a:graphicData>
              </a:graphic>
            </wp:anchor>
          </w:drawing>
        </mc:Choice>
        <mc:Fallback>
          <w:pict>
            <v:shape id="文本框 5" o:spid="_x0000_s1026" o:spt="202" type="#_x0000_t202" style="position:absolute;left:0pt;margin-left:286.9pt;margin-top:781.15pt;height:12.1pt;width:21.6pt;mso-position-horizontal-relative:page;mso-position-vertical-relative:page;z-index:-251653120;mso-width-relative:page;mso-height-relative:page;" filled="f" stroked="f" coordsize="21600,21600" o:gfxdata="UEsDBAoAAAAAAIdO4kAAAAAAAAAAAAAAAAAEAAAAZHJzL1BLAwQUAAAACACHTuJADYqwQNsAAAAN&#10;AQAADwAAAGRycy9kb3ducmV2LnhtbE2PzU7DMBCE70i8g7WVuFEnreKWNE6FEJyQEGk4cHRiN7Ea&#10;r0Ps/vD2bE/luDOj2W+K7cUN7GSmYD1KSOcJMIOt1xY7CV/12+MaWIgKtRo8Ggm/JsC2vL8rVK79&#10;GStz2sWOUQmGXEnoYxxzzkPbG6fC3I8Gydv7yalI59RxPakzlbuBL5JEcKcs0odejealN+1hd3QS&#10;nr+xerU/H81nta9sXT8l+C4OUj7M0mQDLJpLvIXhik/oUBJT44+oAxskZKsloUcyMrFYAqOISFc0&#10;r7lKa5EBLwv+f0X5B1BLAwQUAAAACACHTuJAQ8XiT8EBAACBAwAADgAAAGRycy9lMm9Eb2MueG1s&#10;rVNLbtswEN0X6B0I7mvJdvOBYDlAYaQoELQFkhyApkiLAMkhSNqSL5DeoKtuuu+5fI4OKclN000W&#10;3VDDmeGbeW9Gq5veaHIQPiiwNZ3PSkqE5dAou6vp48Ptu2tKQmS2YRqsqOlRBHqzfvtm1blKLKAF&#10;3QhPEMSGqnM1bWN0VVEE3grDwgycsBiU4A2LePW7ovGsQ3Sji0VZXhYd+MZ54CIE9G6GIB0R/WsA&#10;QUrFxQb43ggbB1QvNItIKbTKBbrO3UopePwiZRCR6Joi05hPLIL2Np3FesWqnWeuVXxsgb2mhRec&#10;DFMWi56hNiwysvfqHyijuIcAMs44mGIgkhVBFvPyhTb3LXMic0GpgzuLHv4fLP98+OqJanATyiUl&#10;lhkc+en7t9OPX6efT+QiCdS5UGHevcPM2H+AHpMnf0Bn4t1Lb9IXGRGMo7zHs7yij4Sjc3H1frnA&#10;CMfQ/GJ5eZXlL/48dj7EjwIMSUZNPU4vi8oOdyFiI5g6paRaFm6V1nmC2v7lwMTBI/IKjK8Tj6Hf&#10;ZMV+24/kttAckZv+ZFHZtCWT4SdjOxl759WuxeayAkUCwsnk1sYtSqN/fkf7+Z+z/g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NirBA2wAAAA0BAAAPAAAAAAAAAAEAIAAAACIAAABkcnMvZG93bnJl&#10;di54bWxQSwECFAAUAAAACACHTuJAQ8XiT8EBAACBAwAADgAAAAAAAAABACAAAAAqAQAAZHJzL2Uy&#10;b0RvYy54bWxQSwUGAAAAAAYABgBZAQAAXQUAAAAA&#10;">
              <v:fill on="f" focussize="0,0"/>
              <v:stroke on="f"/>
              <v:imagedata o:title=""/>
              <o:lock v:ext="edit" aspectratio="f"/>
              <v:textbox inset="0mm,0mm,0mm,0mm">
                <w:txbxContent>
                  <w:p w14:paraId="6D9CC88F">
                    <w:pPr>
                      <w:spacing w:before="14"/>
                      <w:ind w:left="2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- 21 -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086AF">
    <w:pPr>
      <w:pStyle w:val="12"/>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1130300</wp:posOffset>
              </wp:positionH>
              <wp:positionV relativeFrom="page">
                <wp:posOffset>544195</wp:posOffset>
              </wp:positionV>
              <wp:extent cx="1625600" cy="139700"/>
              <wp:effectExtent l="0" t="0" r="0" b="0"/>
              <wp:wrapNone/>
              <wp:docPr id="99" name="文本框 1"/>
              <wp:cNvGraphicFramePr/>
              <a:graphic xmlns:a="http://schemas.openxmlformats.org/drawingml/2006/main">
                <a:graphicData uri="http://schemas.microsoft.com/office/word/2010/wordprocessingShape">
                  <wps:wsp>
                    <wps:cNvSpPr txBox="1"/>
                    <wps:spPr>
                      <a:xfrm>
                        <a:off x="0" y="0"/>
                        <a:ext cx="1625600" cy="139700"/>
                      </a:xfrm>
                      <a:prstGeom prst="rect">
                        <a:avLst/>
                      </a:prstGeom>
                      <a:noFill/>
                      <a:ln>
                        <a:noFill/>
                      </a:ln>
                      <a:effectLst/>
                    </wps:spPr>
                    <wps:txbx>
                      <w:txbxContent>
                        <w:p w14:paraId="5A45000D">
                          <w:pPr>
                            <w:spacing w:line="220" w:lineRule="exact"/>
                            <w:rPr>
                              <w:sz w:val="18"/>
                            </w:rPr>
                          </w:pPr>
                        </w:p>
                      </w:txbxContent>
                    </wps:txbx>
                    <wps:bodyPr lIns="0" tIns="0" rIns="0" bIns="0" upright="1"/>
                  </wps:wsp>
                </a:graphicData>
              </a:graphic>
            </wp:anchor>
          </w:drawing>
        </mc:Choice>
        <mc:Fallback>
          <w:pict>
            <v:shape id="文本框 1" o:spid="_x0000_s1026" o:spt="202" type="#_x0000_t202" style="position:absolute;left:0pt;margin-left:89pt;margin-top:42.85pt;height:11pt;width:128pt;mso-position-horizontal-relative:page;mso-position-vertical-relative:page;z-index:-251657216;mso-width-relative:page;mso-height-relative:page;" filled="f" stroked="f" coordsize="21600,21600" o:gfxdata="UEsDBAoAAAAAAIdO4kAAAAAAAAAAAAAAAAAEAAAAZHJzL1BLAwQUAAAACACHTuJAcxoKCtgAAAAK&#10;AQAADwAAAGRycy9kb3ducmV2LnhtbE2PzU7DMBCE70i8g7VI3KhdKE2axqkQghMSIg0Hjk68TaLG&#10;6xC7P7w9y6kcZ2c0+02+ObtBHHEKvScN85kCgdR421Or4bN6vUtBhGjImsETavjBAJvi+io3mfUn&#10;KvG4ja3gEgqZ0dDFOGZShqZDZ8LMj0js7fzkTGQ5tdJO5sTlbpD3Si2lMz3xh86M+Nxhs98enIan&#10;Lypf+u/3+qPclX1VrRS9Lfda397M1RpExHO8hOEPn9GhYKbaH8gGMbBOUt4SNaSPCQgOLB4WfKjZ&#10;UUkCssjl/wnFL1BLAwQUAAAACACHTuJA2nA+m78BAACBAwAADgAAAGRycy9lMm9Eb2MueG1srVNL&#10;btswEN0X6B0I7mvKLurWguUAhZGiQNAWSHIAmhpZBPgDSVvyBdIbdNVN9z2Xz9EhJTlpusmiG+px&#10;hnyc92a0vuq1IkfwQVpT0fmsoASMsLU0+4re312/+UBJiNzUXFkDFT1BoFeb16/WnSthYVuravAE&#10;SUwoO1fRNkZXMhZEC5qHmXVgMNlYr3nErd+z2vMO2bVii6JYss762nkrIASMbockHRn9Swht00gB&#10;WysOGkwcWD0oHlFSaKULdJOrbRoQ8WvTBIhEVRSVxrziI4h3aWWbNS/3nrtWirEE/pISnmnSXBp8&#10;9EK15ZGTg5f/UGkpvA22iTNhNRuEZEdQxbx45s1tyx1kLWh1cBfTw/+jFV+O3zyRdUVXK0oM19jx&#10;84/v55+/z78eyDz507lQ4rFbhwdj/9H2ODVTPGAwye4br9MXBRHMo7uni7vQRyLSpeXi3bLAlMDc&#10;/O3qPWKkZ4+3nQ/xE1hNEqiox+5lU/nxJsTh6HQkPWbstVQqd1CZvwLIOUQgj8B4OwkZCk4o9rt+&#10;VLez9QnFqc8GnU1TMgE/gd0EDs7LfYvFZQtYIsLOZBXjFKXWP90jfvrnbP4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cxoKCtgAAAAKAQAADwAAAAAAAAABACAAAAAiAAAAZHJzL2Rvd25yZXYueG1s&#10;UEsBAhQAFAAAAAgAh07iQNpwPpu/AQAAgQMAAA4AAAAAAAAAAQAgAAAAJwEAAGRycy9lMm9Eb2Mu&#10;eG1sUEsFBgAAAAAGAAYAWQEAAFgFAAAAAA==&#10;">
              <v:fill on="f" focussize="0,0"/>
              <v:stroke on="f"/>
              <v:imagedata o:title=""/>
              <o:lock v:ext="edit" aspectratio="f"/>
              <v:textbox inset="0mm,0mm,0mm,0mm">
                <w:txbxContent>
                  <w:p w14:paraId="5A45000D">
                    <w:pPr>
                      <w:spacing w:line="220" w:lineRule="exact"/>
                      <w:rPr>
                        <w:sz w:val="18"/>
                      </w:rPr>
                    </w:pP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5475605</wp:posOffset>
              </wp:positionH>
              <wp:positionV relativeFrom="page">
                <wp:posOffset>540385</wp:posOffset>
              </wp:positionV>
              <wp:extent cx="845185" cy="152400"/>
              <wp:effectExtent l="0" t="0" r="0" b="0"/>
              <wp:wrapNone/>
              <wp:docPr id="100" name="文本框 2"/>
              <wp:cNvGraphicFramePr/>
              <a:graphic xmlns:a="http://schemas.openxmlformats.org/drawingml/2006/main">
                <a:graphicData uri="http://schemas.microsoft.com/office/word/2010/wordprocessingShape">
                  <wps:wsp>
                    <wps:cNvSpPr txBox="1"/>
                    <wps:spPr>
                      <a:xfrm>
                        <a:off x="0" y="0"/>
                        <a:ext cx="845185" cy="152400"/>
                      </a:xfrm>
                      <a:prstGeom prst="rect">
                        <a:avLst/>
                      </a:prstGeom>
                      <a:noFill/>
                      <a:ln>
                        <a:noFill/>
                      </a:ln>
                      <a:effectLst/>
                    </wps:spPr>
                    <wps:txbx>
                      <w:txbxContent>
                        <w:p w14:paraId="565CF234">
                          <w:pPr>
                            <w:spacing w:before="12"/>
                            <w:rPr>
                              <w:sz w:val="18"/>
                            </w:rPr>
                          </w:pPr>
                        </w:p>
                      </w:txbxContent>
                    </wps:txbx>
                    <wps:bodyPr lIns="0" tIns="0" rIns="0" bIns="0" upright="1"/>
                  </wps:wsp>
                </a:graphicData>
              </a:graphic>
            </wp:anchor>
          </w:drawing>
        </mc:Choice>
        <mc:Fallback>
          <w:pict>
            <v:shape id="文本框 2" o:spid="_x0000_s1026" o:spt="202" type="#_x0000_t202" style="position:absolute;left:0pt;margin-left:431.15pt;margin-top:42.55pt;height:12pt;width:66.55pt;mso-position-horizontal-relative:page;mso-position-vertical-relative:page;z-index:-251656192;mso-width-relative:page;mso-height-relative:page;" filled="f" stroked="f" coordsize="21600,21600" o:gfxdata="UEsDBAoAAAAAAIdO4kAAAAAAAAAAAAAAAAAEAAAAZHJzL1BLAwQUAAAACACHTuJAKsIMt9kAAAAK&#10;AQAADwAAAGRycy9kb3ducmV2LnhtbE2PTU/DMAyG70j8h8hI3FjSwaq1NJ0QghMSoisHjmnjtdUa&#10;pzTZB/8ecxo3W370+nmLzdmN4ohzGDxpSBYKBFLr7UCdhs/69W4NIkRD1oyeUMMPBtiU11eFya0/&#10;UYXHbewEh1DIjYY+ximXMrQ9OhMWfkLi287PzkRe507a2Zw43I1yqVQqnRmIP/Rmwuce2/324DQ8&#10;fVH1Mny/Nx/VrhrqOlP0lu61vr1J1COIiOd4geFPn9WhZKfGH8gGMWpYp8t7RnlYJSAYyLLVA4iG&#10;SZUlIMtC/q9Q/gJQSwMEFAAAAAgAh07iQOnuhyi/AQAAgQMAAA4AAABkcnMvZTJvRG9jLnhtbK1T&#10;S27bMBDdF+gdCO5rykZcGILlAIGRIEDQFEh7AJqiLAL8gUNb8gWaG3TVTfc9l8/RISW5abrJohtq&#10;ODN8M+/NaH3dG02OMoBytqLzWUGJtMLVyu4r+vXL7YcVJRC5rbl2Vlb0JIFeb96/W3e+lAvXOl3L&#10;QBDEQtn5irYx+pIxEK00HGbOS4vBxgXDI17DntWBd4huNFsUxUfWuVD74IQEQO92CNIRMbwF0DWN&#10;EnLrxMFIGwfUIDWPSAla5YFucrdNI0V8bBqQkeiKItOYTyyC9i6dbLPm5T5w3yoxtsDf0sIrToYr&#10;i0UvUFseOTkE9Q+UUSI4cE2cCWfYQCQrgizmxSttnlruZeaCUoO/iA7/D1Z8On4ORNW4CQVqYrnB&#10;kZ+/P59//Dr//EYWSaDOQ4l5Tx4zY3/jekye/IDOxLtvgklfZEQwjlCni7yyj0Sgc3W1nK+WlAgM&#10;zZeLKyyI6OzPYx8g3klnSDIqGnB6WVR+fIA4pE4pqZZ1t0rrPEFt/3Ig5uCReQXG14nH0G+yYr/r&#10;R3I7V5+Qm763qGzakskIk7GbjIMPat9ic1kBloBwMpnFuEVp9C/vaL/8c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rCDLfZAAAACgEAAA8AAAAAAAAAAQAgAAAAIgAAAGRycy9kb3ducmV2Lnht&#10;bFBLAQIUABQAAAAIAIdO4kDp7ocovwEAAIEDAAAOAAAAAAAAAAEAIAAAACgBAABkcnMvZTJvRG9j&#10;LnhtbFBLBQYAAAAABgAGAFkBAABZBQAAAAA=&#10;">
              <v:fill on="f" focussize="0,0"/>
              <v:stroke on="f"/>
              <v:imagedata o:title=""/>
              <o:lock v:ext="edit" aspectratio="f"/>
              <v:textbox inset="0mm,0mm,0mm,0mm">
                <w:txbxContent>
                  <w:p w14:paraId="565CF234">
                    <w:pPr>
                      <w:spacing w:before="12"/>
                      <w:rPr>
                        <w:sz w:val="18"/>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3ED913"/>
    <w:multiLevelType w:val="singleLevel"/>
    <w:tmpl w:val="883ED913"/>
    <w:lvl w:ilvl="0" w:tentative="0">
      <w:start w:val="1"/>
      <w:numFmt w:val="decimal"/>
      <w:suff w:val="space"/>
      <w:lvlText w:val="%1."/>
      <w:lvlJc w:val="left"/>
      <w:pPr>
        <w:ind w:left="425" w:hanging="425"/>
      </w:pPr>
      <w:rPr>
        <w:rFonts w:hint="default" w:ascii="宋体" w:hAnsi="宋体" w:eastAsia="宋体" w:cs="宋体"/>
      </w:rPr>
    </w:lvl>
  </w:abstractNum>
  <w:abstractNum w:abstractNumId="1">
    <w:nsid w:val="9E23B0CA"/>
    <w:multiLevelType w:val="singleLevel"/>
    <w:tmpl w:val="9E23B0CA"/>
    <w:lvl w:ilvl="0" w:tentative="0">
      <w:start w:val="2"/>
      <w:numFmt w:val="chineseCounting"/>
      <w:suff w:val="nothing"/>
      <w:lvlText w:val="%1、"/>
      <w:lvlJc w:val="left"/>
      <w:pPr>
        <w:ind w:left="140" w:leftChars="0" w:firstLine="0" w:firstLineChars="0"/>
      </w:pPr>
      <w:rPr>
        <w:rFonts w:hint="eastAsia"/>
      </w:rPr>
    </w:lvl>
  </w:abstractNum>
  <w:abstractNum w:abstractNumId="2">
    <w:nsid w:val="A409530E"/>
    <w:multiLevelType w:val="singleLevel"/>
    <w:tmpl w:val="A409530E"/>
    <w:lvl w:ilvl="0" w:tentative="0">
      <w:start w:val="1"/>
      <w:numFmt w:val="decimal"/>
      <w:suff w:val="nothing"/>
      <w:lvlText w:val="%1、"/>
      <w:lvlJc w:val="left"/>
    </w:lvl>
  </w:abstractNum>
  <w:abstractNum w:abstractNumId="3">
    <w:nsid w:val="C2C72420"/>
    <w:multiLevelType w:val="singleLevel"/>
    <w:tmpl w:val="C2C72420"/>
    <w:lvl w:ilvl="0" w:tentative="0">
      <w:start w:val="1"/>
      <w:numFmt w:val="decimal"/>
      <w:lvlText w:val="%1."/>
      <w:lvlJc w:val="left"/>
      <w:pPr>
        <w:tabs>
          <w:tab w:val="left" w:pos="312"/>
        </w:tabs>
      </w:pPr>
    </w:lvl>
  </w:abstractNum>
  <w:abstractNum w:abstractNumId="4">
    <w:nsid w:val="09F73F14"/>
    <w:multiLevelType w:val="singleLevel"/>
    <w:tmpl w:val="09F73F14"/>
    <w:lvl w:ilvl="0" w:tentative="0">
      <w:start w:val="1"/>
      <w:numFmt w:val="decimal"/>
      <w:suff w:val="nothing"/>
      <w:lvlText w:val="%1、"/>
      <w:lvlJc w:val="left"/>
    </w:lvl>
  </w:abstractNum>
  <w:abstractNum w:abstractNumId="5">
    <w:nsid w:val="0D165B6F"/>
    <w:multiLevelType w:val="singleLevel"/>
    <w:tmpl w:val="0D165B6F"/>
    <w:lvl w:ilvl="0" w:tentative="0">
      <w:start w:val="1"/>
      <w:numFmt w:val="decimal"/>
      <w:lvlText w:val="%1."/>
      <w:lvlJc w:val="left"/>
      <w:pPr>
        <w:tabs>
          <w:tab w:val="left" w:pos="312"/>
        </w:tabs>
      </w:pPr>
    </w:lvl>
  </w:abstractNum>
  <w:abstractNum w:abstractNumId="6">
    <w:nsid w:val="24D063EF"/>
    <w:multiLevelType w:val="singleLevel"/>
    <w:tmpl w:val="24D063EF"/>
    <w:lvl w:ilvl="0" w:tentative="0">
      <w:start w:val="1"/>
      <w:numFmt w:val="decimal"/>
      <w:suff w:val="space"/>
      <w:lvlText w:val="%1."/>
      <w:lvlJc w:val="left"/>
      <w:rPr>
        <w:rFonts w:hint="default" w:ascii="宋体" w:hAnsi="宋体" w:eastAsia="宋体" w:cs="宋体"/>
      </w:rPr>
    </w:lvl>
  </w:abstractNum>
  <w:abstractNum w:abstractNumId="7">
    <w:nsid w:val="281F0C34"/>
    <w:multiLevelType w:val="singleLevel"/>
    <w:tmpl w:val="281F0C34"/>
    <w:lvl w:ilvl="0" w:tentative="0">
      <w:start w:val="1"/>
      <w:numFmt w:val="decimal"/>
      <w:suff w:val="nothing"/>
      <w:lvlText w:val="%1、"/>
      <w:lvlJc w:val="left"/>
    </w:lvl>
  </w:abstractNum>
  <w:abstractNum w:abstractNumId="8">
    <w:nsid w:val="32A5CAD5"/>
    <w:multiLevelType w:val="singleLevel"/>
    <w:tmpl w:val="32A5CAD5"/>
    <w:lvl w:ilvl="0" w:tentative="0">
      <w:start w:val="1"/>
      <w:numFmt w:val="decimal"/>
      <w:suff w:val="nothing"/>
      <w:lvlText w:val="%1、"/>
      <w:lvlJc w:val="left"/>
    </w:lvl>
  </w:abstractNum>
  <w:num w:numId="1">
    <w:abstractNumId w:val="1"/>
  </w:num>
  <w:num w:numId="2">
    <w:abstractNumId w:val="2"/>
  </w:num>
  <w:num w:numId="3">
    <w:abstractNumId w:val="4"/>
  </w:num>
  <w:num w:numId="4">
    <w:abstractNumId w:val="7"/>
  </w:num>
  <w:num w:numId="5">
    <w:abstractNumId w:val="3"/>
  </w:num>
  <w:num w:numId="6">
    <w:abstractNumId w:val="5"/>
  </w:num>
  <w:num w:numId="7">
    <w:abstractNumId w:val="8"/>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4ZDc2ZWZjMDg2MTg3MmI2YmIxN2Y0OGJlMjIyMjMifQ=="/>
  </w:docVars>
  <w:rsids>
    <w:rsidRoot w:val="00172A27"/>
    <w:rsid w:val="00000811"/>
    <w:rsid w:val="000032B5"/>
    <w:rsid w:val="0001136F"/>
    <w:rsid w:val="000160DA"/>
    <w:rsid w:val="00032601"/>
    <w:rsid w:val="00046499"/>
    <w:rsid w:val="00087033"/>
    <w:rsid w:val="00087EF0"/>
    <w:rsid w:val="000A10C4"/>
    <w:rsid w:val="000A28B0"/>
    <w:rsid w:val="000A74DB"/>
    <w:rsid w:val="000C3672"/>
    <w:rsid w:val="000C46FD"/>
    <w:rsid w:val="000E6DC9"/>
    <w:rsid w:val="000F73E5"/>
    <w:rsid w:val="00117656"/>
    <w:rsid w:val="0014559F"/>
    <w:rsid w:val="0014580A"/>
    <w:rsid w:val="00192562"/>
    <w:rsid w:val="00192A4A"/>
    <w:rsid w:val="00195027"/>
    <w:rsid w:val="001A53B5"/>
    <w:rsid w:val="001B1CEB"/>
    <w:rsid w:val="001B736F"/>
    <w:rsid w:val="001C0434"/>
    <w:rsid w:val="001E5CB3"/>
    <w:rsid w:val="0020367F"/>
    <w:rsid w:val="002213F2"/>
    <w:rsid w:val="00252CDC"/>
    <w:rsid w:val="002627E6"/>
    <w:rsid w:val="00271BF8"/>
    <w:rsid w:val="00271E5D"/>
    <w:rsid w:val="00281DE0"/>
    <w:rsid w:val="002A6D13"/>
    <w:rsid w:val="002C1A19"/>
    <w:rsid w:val="002E2235"/>
    <w:rsid w:val="003020B1"/>
    <w:rsid w:val="00337BA1"/>
    <w:rsid w:val="00337BAA"/>
    <w:rsid w:val="00343046"/>
    <w:rsid w:val="00343627"/>
    <w:rsid w:val="003742F5"/>
    <w:rsid w:val="003744E7"/>
    <w:rsid w:val="00374B7C"/>
    <w:rsid w:val="003A1E4E"/>
    <w:rsid w:val="003A3472"/>
    <w:rsid w:val="003A6412"/>
    <w:rsid w:val="003C7888"/>
    <w:rsid w:val="00426CD8"/>
    <w:rsid w:val="004457B3"/>
    <w:rsid w:val="0045610E"/>
    <w:rsid w:val="004C162C"/>
    <w:rsid w:val="004C4481"/>
    <w:rsid w:val="004C7266"/>
    <w:rsid w:val="004D70E3"/>
    <w:rsid w:val="004E6FBE"/>
    <w:rsid w:val="005176CE"/>
    <w:rsid w:val="0052372C"/>
    <w:rsid w:val="005250CE"/>
    <w:rsid w:val="00534606"/>
    <w:rsid w:val="005400C7"/>
    <w:rsid w:val="0055681B"/>
    <w:rsid w:val="005805B9"/>
    <w:rsid w:val="005909CA"/>
    <w:rsid w:val="00594B65"/>
    <w:rsid w:val="005B7582"/>
    <w:rsid w:val="005D55F6"/>
    <w:rsid w:val="005E0E2D"/>
    <w:rsid w:val="005E36D2"/>
    <w:rsid w:val="006016E9"/>
    <w:rsid w:val="006068E1"/>
    <w:rsid w:val="00654E1F"/>
    <w:rsid w:val="00655BE5"/>
    <w:rsid w:val="00687E5C"/>
    <w:rsid w:val="00695467"/>
    <w:rsid w:val="006B4ECD"/>
    <w:rsid w:val="006C5265"/>
    <w:rsid w:val="006D2998"/>
    <w:rsid w:val="00713D0D"/>
    <w:rsid w:val="007660A0"/>
    <w:rsid w:val="00775D38"/>
    <w:rsid w:val="00787C81"/>
    <w:rsid w:val="00791A89"/>
    <w:rsid w:val="007A18FB"/>
    <w:rsid w:val="007C6934"/>
    <w:rsid w:val="007D3D1B"/>
    <w:rsid w:val="007F55AC"/>
    <w:rsid w:val="00806383"/>
    <w:rsid w:val="00813130"/>
    <w:rsid w:val="00824AD2"/>
    <w:rsid w:val="00824CC3"/>
    <w:rsid w:val="008579C4"/>
    <w:rsid w:val="008720E5"/>
    <w:rsid w:val="00876477"/>
    <w:rsid w:val="00884A92"/>
    <w:rsid w:val="008A693C"/>
    <w:rsid w:val="008B2405"/>
    <w:rsid w:val="008D1FD9"/>
    <w:rsid w:val="008E2CD2"/>
    <w:rsid w:val="008F7DAE"/>
    <w:rsid w:val="0090675F"/>
    <w:rsid w:val="00944470"/>
    <w:rsid w:val="009544B4"/>
    <w:rsid w:val="009924E2"/>
    <w:rsid w:val="00996581"/>
    <w:rsid w:val="009C1DC2"/>
    <w:rsid w:val="009C67BE"/>
    <w:rsid w:val="009E28C4"/>
    <w:rsid w:val="009F4C3D"/>
    <w:rsid w:val="00A00050"/>
    <w:rsid w:val="00A21782"/>
    <w:rsid w:val="00A36011"/>
    <w:rsid w:val="00A82ACF"/>
    <w:rsid w:val="00AA3C95"/>
    <w:rsid w:val="00AA4DF9"/>
    <w:rsid w:val="00AD7490"/>
    <w:rsid w:val="00AF4985"/>
    <w:rsid w:val="00B079B7"/>
    <w:rsid w:val="00B131E9"/>
    <w:rsid w:val="00B44E3A"/>
    <w:rsid w:val="00B64FF6"/>
    <w:rsid w:val="00B678FD"/>
    <w:rsid w:val="00BB7CF1"/>
    <w:rsid w:val="00BD0844"/>
    <w:rsid w:val="00BD3A07"/>
    <w:rsid w:val="00BE60E7"/>
    <w:rsid w:val="00BE7BED"/>
    <w:rsid w:val="00C1716E"/>
    <w:rsid w:val="00C4197A"/>
    <w:rsid w:val="00C500CF"/>
    <w:rsid w:val="00C50EC1"/>
    <w:rsid w:val="00C6512A"/>
    <w:rsid w:val="00C75071"/>
    <w:rsid w:val="00CD1F34"/>
    <w:rsid w:val="00CE35D2"/>
    <w:rsid w:val="00CF123E"/>
    <w:rsid w:val="00CF4866"/>
    <w:rsid w:val="00D00017"/>
    <w:rsid w:val="00D02760"/>
    <w:rsid w:val="00D04324"/>
    <w:rsid w:val="00D048AE"/>
    <w:rsid w:val="00D04943"/>
    <w:rsid w:val="00D10053"/>
    <w:rsid w:val="00D22A6B"/>
    <w:rsid w:val="00D33BC3"/>
    <w:rsid w:val="00D353BC"/>
    <w:rsid w:val="00D514DA"/>
    <w:rsid w:val="00D557B0"/>
    <w:rsid w:val="00D90740"/>
    <w:rsid w:val="00DB20DE"/>
    <w:rsid w:val="00DD1C4B"/>
    <w:rsid w:val="00DD3B0F"/>
    <w:rsid w:val="00DE5AEA"/>
    <w:rsid w:val="00DF1691"/>
    <w:rsid w:val="00DF67CB"/>
    <w:rsid w:val="00E11D8E"/>
    <w:rsid w:val="00E545CC"/>
    <w:rsid w:val="00E5508E"/>
    <w:rsid w:val="00E93B68"/>
    <w:rsid w:val="00EA0A71"/>
    <w:rsid w:val="00EA1560"/>
    <w:rsid w:val="00ED73F9"/>
    <w:rsid w:val="00ED7606"/>
    <w:rsid w:val="00F0418C"/>
    <w:rsid w:val="00F60604"/>
    <w:rsid w:val="00F66005"/>
    <w:rsid w:val="00F7126D"/>
    <w:rsid w:val="00F82369"/>
    <w:rsid w:val="00F8293E"/>
    <w:rsid w:val="00F85C4D"/>
    <w:rsid w:val="00F87108"/>
    <w:rsid w:val="00F90416"/>
    <w:rsid w:val="00FD0D07"/>
    <w:rsid w:val="00FF2125"/>
    <w:rsid w:val="0126389F"/>
    <w:rsid w:val="01E675CC"/>
    <w:rsid w:val="02032FE7"/>
    <w:rsid w:val="0210549F"/>
    <w:rsid w:val="02284EF1"/>
    <w:rsid w:val="02F05969"/>
    <w:rsid w:val="03254E27"/>
    <w:rsid w:val="03547EE0"/>
    <w:rsid w:val="039667A9"/>
    <w:rsid w:val="03B7227C"/>
    <w:rsid w:val="040C787B"/>
    <w:rsid w:val="04DC643E"/>
    <w:rsid w:val="04EC7CA1"/>
    <w:rsid w:val="04F03C97"/>
    <w:rsid w:val="051026CC"/>
    <w:rsid w:val="0576374F"/>
    <w:rsid w:val="05EC1ED7"/>
    <w:rsid w:val="06384E61"/>
    <w:rsid w:val="06400C90"/>
    <w:rsid w:val="0665037A"/>
    <w:rsid w:val="06B37672"/>
    <w:rsid w:val="06F35BF5"/>
    <w:rsid w:val="076F17EB"/>
    <w:rsid w:val="077C4592"/>
    <w:rsid w:val="07E179CC"/>
    <w:rsid w:val="07F55128"/>
    <w:rsid w:val="082A1146"/>
    <w:rsid w:val="08407119"/>
    <w:rsid w:val="088821BA"/>
    <w:rsid w:val="08A90D2D"/>
    <w:rsid w:val="090D39E7"/>
    <w:rsid w:val="0922463B"/>
    <w:rsid w:val="09552E52"/>
    <w:rsid w:val="09AC3331"/>
    <w:rsid w:val="0A0861E8"/>
    <w:rsid w:val="0A6F35B0"/>
    <w:rsid w:val="0A860446"/>
    <w:rsid w:val="0B8469CA"/>
    <w:rsid w:val="0BA92DF2"/>
    <w:rsid w:val="0BB85E5D"/>
    <w:rsid w:val="0BE96F8B"/>
    <w:rsid w:val="0C3923C8"/>
    <w:rsid w:val="0C5A6FE9"/>
    <w:rsid w:val="0CB7328E"/>
    <w:rsid w:val="0CEA5470"/>
    <w:rsid w:val="0CEB10EF"/>
    <w:rsid w:val="0D9A44EF"/>
    <w:rsid w:val="0DB00467"/>
    <w:rsid w:val="0DB8731C"/>
    <w:rsid w:val="0DCD49E2"/>
    <w:rsid w:val="0DD73C46"/>
    <w:rsid w:val="0DDB59D7"/>
    <w:rsid w:val="0DEC6F9A"/>
    <w:rsid w:val="0E22306E"/>
    <w:rsid w:val="0E2A67ED"/>
    <w:rsid w:val="0E356BBF"/>
    <w:rsid w:val="0EA0246B"/>
    <w:rsid w:val="0F1B6FAF"/>
    <w:rsid w:val="0F940964"/>
    <w:rsid w:val="0FCD3553"/>
    <w:rsid w:val="0FF7412C"/>
    <w:rsid w:val="10AE0A4F"/>
    <w:rsid w:val="11FA7497"/>
    <w:rsid w:val="12011292"/>
    <w:rsid w:val="12691013"/>
    <w:rsid w:val="12FD339F"/>
    <w:rsid w:val="13E37621"/>
    <w:rsid w:val="14616552"/>
    <w:rsid w:val="14680271"/>
    <w:rsid w:val="158C3DA3"/>
    <w:rsid w:val="158F4E06"/>
    <w:rsid w:val="15A12014"/>
    <w:rsid w:val="15F13700"/>
    <w:rsid w:val="16CA55CE"/>
    <w:rsid w:val="16D95AF6"/>
    <w:rsid w:val="16EC31AC"/>
    <w:rsid w:val="171031B7"/>
    <w:rsid w:val="171509F9"/>
    <w:rsid w:val="175D3185"/>
    <w:rsid w:val="176B7CC8"/>
    <w:rsid w:val="17FF1B8F"/>
    <w:rsid w:val="1844012A"/>
    <w:rsid w:val="18AD2173"/>
    <w:rsid w:val="194B7042"/>
    <w:rsid w:val="195906B8"/>
    <w:rsid w:val="19642B69"/>
    <w:rsid w:val="198C4E1E"/>
    <w:rsid w:val="199F5A25"/>
    <w:rsid w:val="1AB772D9"/>
    <w:rsid w:val="1AC65778"/>
    <w:rsid w:val="1B40258D"/>
    <w:rsid w:val="1B7D7960"/>
    <w:rsid w:val="1C0A0424"/>
    <w:rsid w:val="1C347356"/>
    <w:rsid w:val="1CAC4FF0"/>
    <w:rsid w:val="1D4E2AE9"/>
    <w:rsid w:val="1D6B7F07"/>
    <w:rsid w:val="1D7170E9"/>
    <w:rsid w:val="1DAD174D"/>
    <w:rsid w:val="1E206F43"/>
    <w:rsid w:val="1EBF675C"/>
    <w:rsid w:val="1EDC6280"/>
    <w:rsid w:val="1F4020DC"/>
    <w:rsid w:val="201E6E23"/>
    <w:rsid w:val="2041049D"/>
    <w:rsid w:val="20BE6C76"/>
    <w:rsid w:val="20DC6910"/>
    <w:rsid w:val="213056EF"/>
    <w:rsid w:val="21422A2A"/>
    <w:rsid w:val="21722306"/>
    <w:rsid w:val="218D5B5D"/>
    <w:rsid w:val="219025C8"/>
    <w:rsid w:val="21C4406F"/>
    <w:rsid w:val="21DE0C9C"/>
    <w:rsid w:val="21F40D6B"/>
    <w:rsid w:val="228C51A5"/>
    <w:rsid w:val="22D0173A"/>
    <w:rsid w:val="22DC0D72"/>
    <w:rsid w:val="239A6E40"/>
    <w:rsid w:val="239E2F81"/>
    <w:rsid w:val="23C91E2B"/>
    <w:rsid w:val="248D0A22"/>
    <w:rsid w:val="24A03760"/>
    <w:rsid w:val="24B47844"/>
    <w:rsid w:val="255B2F57"/>
    <w:rsid w:val="255B4D05"/>
    <w:rsid w:val="25830689"/>
    <w:rsid w:val="26281DAA"/>
    <w:rsid w:val="26464434"/>
    <w:rsid w:val="277410C6"/>
    <w:rsid w:val="27A91D58"/>
    <w:rsid w:val="27D551E6"/>
    <w:rsid w:val="280B0C36"/>
    <w:rsid w:val="280E640F"/>
    <w:rsid w:val="280E7B49"/>
    <w:rsid w:val="286938B9"/>
    <w:rsid w:val="28814A67"/>
    <w:rsid w:val="288340F5"/>
    <w:rsid w:val="290224C2"/>
    <w:rsid w:val="292A511A"/>
    <w:rsid w:val="29C226A4"/>
    <w:rsid w:val="2A1D6A2D"/>
    <w:rsid w:val="2A212BF5"/>
    <w:rsid w:val="2A426FA9"/>
    <w:rsid w:val="2ADD659C"/>
    <w:rsid w:val="2B024ADB"/>
    <w:rsid w:val="2B7A2A7C"/>
    <w:rsid w:val="2C5F50DB"/>
    <w:rsid w:val="2C67306E"/>
    <w:rsid w:val="2CB01DE7"/>
    <w:rsid w:val="2CE756F9"/>
    <w:rsid w:val="2D58666D"/>
    <w:rsid w:val="2D7B39D1"/>
    <w:rsid w:val="2DB518D4"/>
    <w:rsid w:val="2DC03AF8"/>
    <w:rsid w:val="2E1F04ED"/>
    <w:rsid w:val="2E60513A"/>
    <w:rsid w:val="2E9E682F"/>
    <w:rsid w:val="2EC658E5"/>
    <w:rsid w:val="2FA92333"/>
    <w:rsid w:val="2FBB5237"/>
    <w:rsid w:val="3071686A"/>
    <w:rsid w:val="30BB46D0"/>
    <w:rsid w:val="30E1233D"/>
    <w:rsid w:val="3110132A"/>
    <w:rsid w:val="3129455C"/>
    <w:rsid w:val="313F30D0"/>
    <w:rsid w:val="31602E3A"/>
    <w:rsid w:val="317B3ADF"/>
    <w:rsid w:val="319770C5"/>
    <w:rsid w:val="31982E22"/>
    <w:rsid w:val="31B425B2"/>
    <w:rsid w:val="31F76B91"/>
    <w:rsid w:val="324E4320"/>
    <w:rsid w:val="32781B42"/>
    <w:rsid w:val="329F26D5"/>
    <w:rsid w:val="32EB68EF"/>
    <w:rsid w:val="335723D9"/>
    <w:rsid w:val="349B39B3"/>
    <w:rsid w:val="349E5840"/>
    <w:rsid w:val="34AC2E87"/>
    <w:rsid w:val="351B4E78"/>
    <w:rsid w:val="358F53D2"/>
    <w:rsid w:val="35C12114"/>
    <w:rsid w:val="35C13D40"/>
    <w:rsid w:val="35EA0186"/>
    <w:rsid w:val="35F14FF3"/>
    <w:rsid w:val="362353CB"/>
    <w:rsid w:val="363C4601"/>
    <w:rsid w:val="367543ED"/>
    <w:rsid w:val="3687595A"/>
    <w:rsid w:val="36C216B1"/>
    <w:rsid w:val="36C4095C"/>
    <w:rsid w:val="375241BA"/>
    <w:rsid w:val="375C0B95"/>
    <w:rsid w:val="37DF6C05"/>
    <w:rsid w:val="381550C3"/>
    <w:rsid w:val="38210D36"/>
    <w:rsid w:val="38647981"/>
    <w:rsid w:val="38861F3D"/>
    <w:rsid w:val="38B71EA1"/>
    <w:rsid w:val="39776DA8"/>
    <w:rsid w:val="39833AA4"/>
    <w:rsid w:val="399B5BA1"/>
    <w:rsid w:val="39AF782D"/>
    <w:rsid w:val="39EB26A4"/>
    <w:rsid w:val="3A0D5042"/>
    <w:rsid w:val="3A7E52C6"/>
    <w:rsid w:val="3ADB3437"/>
    <w:rsid w:val="3B1A08AC"/>
    <w:rsid w:val="3B1A26FC"/>
    <w:rsid w:val="3C432323"/>
    <w:rsid w:val="3C8977A4"/>
    <w:rsid w:val="3CA73DD4"/>
    <w:rsid w:val="3CE22C01"/>
    <w:rsid w:val="3CE463EE"/>
    <w:rsid w:val="3DB9647C"/>
    <w:rsid w:val="3E3F363E"/>
    <w:rsid w:val="3E9E7CE5"/>
    <w:rsid w:val="3F911F87"/>
    <w:rsid w:val="40107F45"/>
    <w:rsid w:val="405E66F9"/>
    <w:rsid w:val="40DC2D46"/>
    <w:rsid w:val="40F26BD1"/>
    <w:rsid w:val="412344D1"/>
    <w:rsid w:val="421C3FB6"/>
    <w:rsid w:val="425A03C6"/>
    <w:rsid w:val="42C76996"/>
    <w:rsid w:val="4340181D"/>
    <w:rsid w:val="435218EE"/>
    <w:rsid w:val="43914FA0"/>
    <w:rsid w:val="446A2746"/>
    <w:rsid w:val="44AA4C75"/>
    <w:rsid w:val="451A5327"/>
    <w:rsid w:val="45AD4CB1"/>
    <w:rsid w:val="45BC5575"/>
    <w:rsid w:val="46060DB7"/>
    <w:rsid w:val="4610442C"/>
    <w:rsid w:val="463C6086"/>
    <w:rsid w:val="469A5235"/>
    <w:rsid w:val="46D63D94"/>
    <w:rsid w:val="46EA4B2E"/>
    <w:rsid w:val="47F01CBA"/>
    <w:rsid w:val="47F153E0"/>
    <w:rsid w:val="48531B40"/>
    <w:rsid w:val="48653621"/>
    <w:rsid w:val="48AA0E8D"/>
    <w:rsid w:val="49046F7C"/>
    <w:rsid w:val="490F582F"/>
    <w:rsid w:val="4952561F"/>
    <w:rsid w:val="49896CF3"/>
    <w:rsid w:val="499F52CF"/>
    <w:rsid w:val="4A161077"/>
    <w:rsid w:val="4ADA4E63"/>
    <w:rsid w:val="4B0337D0"/>
    <w:rsid w:val="4B4C5E55"/>
    <w:rsid w:val="4B8E6E1B"/>
    <w:rsid w:val="4BB71ECD"/>
    <w:rsid w:val="4BC26F3C"/>
    <w:rsid w:val="4BC475B5"/>
    <w:rsid w:val="4C1531E0"/>
    <w:rsid w:val="4C35155C"/>
    <w:rsid w:val="4C90263D"/>
    <w:rsid w:val="4C960C6B"/>
    <w:rsid w:val="4CAC4D43"/>
    <w:rsid w:val="4CCF3744"/>
    <w:rsid w:val="4D0F0700"/>
    <w:rsid w:val="4D1C37CF"/>
    <w:rsid w:val="4D5679DC"/>
    <w:rsid w:val="4D780179"/>
    <w:rsid w:val="4DD73432"/>
    <w:rsid w:val="4E183A7E"/>
    <w:rsid w:val="4F244236"/>
    <w:rsid w:val="4F7D7A12"/>
    <w:rsid w:val="4FD80B7D"/>
    <w:rsid w:val="51436C11"/>
    <w:rsid w:val="51613A6C"/>
    <w:rsid w:val="5180327A"/>
    <w:rsid w:val="519B5E83"/>
    <w:rsid w:val="525473B7"/>
    <w:rsid w:val="526861E8"/>
    <w:rsid w:val="529E1C09"/>
    <w:rsid w:val="52CD3260"/>
    <w:rsid w:val="532662BB"/>
    <w:rsid w:val="5343496B"/>
    <w:rsid w:val="54106B37"/>
    <w:rsid w:val="54C012B5"/>
    <w:rsid w:val="55456FC5"/>
    <w:rsid w:val="55960B79"/>
    <w:rsid w:val="55B72586"/>
    <w:rsid w:val="55E21FC7"/>
    <w:rsid w:val="55E54264"/>
    <w:rsid w:val="55EC35D4"/>
    <w:rsid w:val="568779AB"/>
    <w:rsid w:val="56F75D8C"/>
    <w:rsid w:val="578259EC"/>
    <w:rsid w:val="57E52089"/>
    <w:rsid w:val="581A61D6"/>
    <w:rsid w:val="58425E6E"/>
    <w:rsid w:val="58E21829"/>
    <w:rsid w:val="59267E70"/>
    <w:rsid w:val="5927111C"/>
    <w:rsid w:val="59327A8A"/>
    <w:rsid w:val="597B346A"/>
    <w:rsid w:val="598418EE"/>
    <w:rsid w:val="59944058"/>
    <w:rsid w:val="59CC3500"/>
    <w:rsid w:val="59FA62BF"/>
    <w:rsid w:val="5B0D198A"/>
    <w:rsid w:val="5B465798"/>
    <w:rsid w:val="5BB44A0F"/>
    <w:rsid w:val="5BD53981"/>
    <w:rsid w:val="5D25728B"/>
    <w:rsid w:val="5D2D482E"/>
    <w:rsid w:val="5D7133A0"/>
    <w:rsid w:val="5D7229EC"/>
    <w:rsid w:val="5D8A5BAC"/>
    <w:rsid w:val="5DFF1EE9"/>
    <w:rsid w:val="5E4D6A29"/>
    <w:rsid w:val="5EA276B0"/>
    <w:rsid w:val="5EB961C6"/>
    <w:rsid w:val="5ECB265D"/>
    <w:rsid w:val="5F320EFA"/>
    <w:rsid w:val="5F8417AB"/>
    <w:rsid w:val="5F884026"/>
    <w:rsid w:val="5FB36ADE"/>
    <w:rsid w:val="600F2399"/>
    <w:rsid w:val="60940C45"/>
    <w:rsid w:val="60EA0849"/>
    <w:rsid w:val="61152F74"/>
    <w:rsid w:val="618408EC"/>
    <w:rsid w:val="62B333F3"/>
    <w:rsid w:val="62F158FB"/>
    <w:rsid w:val="63025BE8"/>
    <w:rsid w:val="63213186"/>
    <w:rsid w:val="636D44E0"/>
    <w:rsid w:val="637157A6"/>
    <w:rsid w:val="638617BF"/>
    <w:rsid w:val="63D678E5"/>
    <w:rsid w:val="6478146A"/>
    <w:rsid w:val="64F4793D"/>
    <w:rsid w:val="653463FD"/>
    <w:rsid w:val="66CB4B3F"/>
    <w:rsid w:val="677A0E7C"/>
    <w:rsid w:val="67820B45"/>
    <w:rsid w:val="6816414F"/>
    <w:rsid w:val="684F2DC7"/>
    <w:rsid w:val="6884793A"/>
    <w:rsid w:val="68E1689C"/>
    <w:rsid w:val="69862E29"/>
    <w:rsid w:val="698E07D2"/>
    <w:rsid w:val="69C328FF"/>
    <w:rsid w:val="6A304FBD"/>
    <w:rsid w:val="6A815C41"/>
    <w:rsid w:val="6AA82A7F"/>
    <w:rsid w:val="6AF30805"/>
    <w:rsid w:val="6B1D7779"/>
    <w:rsid w:val="6BBD0EFB"/>
    <w:rsid w:val="6BC71DE1"/>
    <w:rsid w:val="6BDD37F1"/>
    <w:rsid w:val="6BF31AE0"/>
    <w:rsid w:val="6C1D3545"/>
    <w:rsid w:val="6C6D2921"/>
    <w:rsid w:val="6CF52916"/>
    <w:rsid w:val="6D4B43FB"/>
    <w:rsid w:val="6D897A64"/>
    <w:rsid w:val="6D946650"/>
    <w:rsid w:val="6DE96BA6"/>
    <w:rsid w:val="6EE159EF"/>
    <w:rsid w:val="6EE55869"/>
    <w:rsid w:val="6EEA254A"/>
    <w:rsid w:val="6EF632D9"/>
    <w:rsid w:val="6F755C7D"/>
    <w:rsid w:val="6F7833FA"/>
    <w:rsid w:val="6F923E8B"/>
    <w:rsid w:val="705C4D2F"/>
    <w:rsid w:val="70B2295F"/>
    <w:rsid w:val="71115D25"/>
    <w:rsid w:val="71397543"/>
    <w:rsid w:val="715F1225"/>
    <w:rsid w:val="71605245"/>
    <w:rsid w:val="728828A7"/>
    <w:rsid w:val="729801B2"/>
    <w:rsid w:val="72AA7CFF"/>
    <w:rsid w:val="72C64F6C"/>
    <w:rsid w:val="7306668A"/>
    <w:rsid w:val="73E47231"/>
    <w:rsid w:val="74116287"/>
    <w:rsid w:val="74277859"/>
    <w:rsid w:val="74534B9A"/>
    <w:rsid w:val="74611DE4"/>
    <w:rsid w:val="74827185"/>
    <w:rsid w:val="749E2A81"/>
    <w:rsid w:val="74BA06CD"/>
    <w:rsid w:val="74F05498"/>
    <w:rsid w:val="751856DC"/>
    <w:rsid w:val="765B7C8E"/>
    <w:rsid w:val="769F2D7E"/>
    <w:rsid w:val="76A333E3"/>
    <w:rsid w:val="76AF436C"/>
    <w:rsid w:val="76FA1255"/>
    <w:rsid w:val="779523AB"/>
    <w:rsid w:val="77D335C1"/>
    <w:rsid w:val="78675530"/>
    <w:rsid w:val="7879264D"/>
    <w:rsid w:val="78B07F75"/>
    <w:rsid w:val="78E25162"/>
    <w:rsid w:val="792A1B99"/>
    <w:rsid w:val="796532E5"/>
    <w:rsid w:val="797F3C93"/>
    <w:rsid w:val="79DC2E94"/>
    <w:rsid w:val="7A132309"/>
    <w:rsid w:val="7A173A4F"/>
    <w:rsid w:val="7A435D29"/>
    <w:rsid w:val="7AC178E1"/>
    <w:rsid w:val="7ADA4C98"/>
    <w:rsid w:val="7B0D24E1"/>
    <w:rsid w:val="7BAB6FC2"/>
    <w:rsid w:val="7BCC6F38"/>
    <w:rsid w:val="7BE52F66"/>
    <w:rsid w:val="7C0F270C"/>
    <w:rsid w:val="7C75312C"/>
    <w:rsid w:val="7C831CEC"/>
    <w:rsid w:val="7D060228"/>
    <w:rsid w:val="7D1862F1"/>
    <w:rsid w:val="7D7B6E68"/>
    <w:rsid w:val="7D7F24B4"/>
    <w:rsid w:val="7DB4614B"/>
    <w:rsid w:val="7DF52776"/>
    <w:rsid w:val="7E440ABE"/>
    <w:rsid w:val="7E4D2EF3"/>
    <w:rsid w:val="7E8A7AA1"/>
    <w:rsid w:val="7E9975A5"/>
    <w:rsid w:val="7F611FA5"/>
    <w:rsid w:val="7FA04963"/>
    <w:rsid w:val="7FB57679"/>
    <w:rsid w:val="7FDA3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1" w:semiHidden="0"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3"/>
    <w:qFormat/>
    <w:uiPriority w:val="0"/>
    <w:pPr>
      <w:spacing w:beforeAutospacing="1" w:afterAutospacing="1"/>
      <w:jc w:val="left"/>
      <w:outlineLvl w:val="0"/>
    </w:pPr>
    <w:rPr>
      <w:rFonts w:hint="eastAsia" w:ascii="宋体" w:hAnsi="宋体" w:eastAsia="宋体" w:cs="Times New Roman"/>
      <w:b/>
      <w:kern w:val="44"/>
      <w:sz w:val="28"/>
      <w:szCs w:val="48"/>
    </w:rPr>
  </w:style>
  <w:style w:type="paragraph" w:styleId="4">
    <w:name w:val="heading 2"/>
    <w:basedOn w:val="1"/>
    <w:next w:val="1"/>
    <w:link w:val="38"/>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paragraph" w:styleId="6">
    <w:name w:val="heading 4"/>
    <w:basedOn w:val="1"/>
    <w:next w:val="1"/>
    <w:qFormat/>
    <w:uiPriority w:val="1"/>
    <w:pPr>
      <w:ind w:left="1260"/>
      <w:outlineLvl w:val="3"/>
    </w:pPr>
    <w:rPr>
      <w:b/>
      <w:bCs/>
      <w:sz w:val="28"/>
      <w:szCs w:val="28"/>
    </w:rPr>
  </w:style>
  <w:style w:type="paragraph" w:styleId="7">
    <w:name w:val="heading 6"/>
    <w:basedOn w:val="1"/>
    <w:next w:val="1"/>
    <w:qFormat/>
    <w:uiPriority w:val="1"/>
    <w:pPr>
      <w:spacing w:before="4"/>
      <w:ind w:left="59"/>
      <w:outlineLvl w:val="5"/>
    </w:pPr>
    <w:rPr>
      <w:b/>
      <w:bCs/>
      <w:sz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3">
    <w:name w:val="正文2"/>
    <w:basedOn w:val="1"/>
    <w:qFormat/>
    <w:uiPriority w:val="0"/>
    <w:pPr>
      <w:spacing w:before="156" w:line="360" w:lineRule="auto"/>
      <w:ind w:firstLine="510" w:firstLineChars="200"/>
    </w:pPr>
    <w:rPr>
      <w:sz w:val="24"/>
      <w:szCs w:val="20"/>
    </w:rPr>
  </w:style>
  <w:style w:type="paragraph" w:styleId="8">
    <w:name w:val="table of authorities"/>
    <w:basedOn w:val="1"/>
    <w:next w:val="1"/>
    <w:qFormat/>
    <w:uiPriority w:val="99"/>
    <w:pPr>
      <w:ind w:left="420" w:leftChars="200"/>
    </w:pPr>
  </w:style>
  <w:style w:type="paragraph" w:styleId="9">
    <w:name w:val="Document Map"/>
    <w:basedOn w:val="1"/>
    <w:link w:val="40"/>
    <w:qFormat/>
    <w:uiPriority w:val="0"/>
    <w:rPr>
      <w:rFonts w:ascii="宋体" w:eastAsia="宋体"/>
      <w:sz w:val="18"/>
      <w:szCs w:val="18"/>
    </w:rPr>
  </w:style>
  <w:style w:type="paragraph" w:styleId="10">
    <w:name w:val="annotation text"/>
    <w:basedOn w:val="1"/>
    <w:qFormat/>
    <w:uiPriority w:val="0"/>
    <w:pPr>
      <w:jc w:val="left"/>
    </w:pPr>
  </w:style>
  <w:style w:type="paragraph" w:styleId="11">
    <w:name w:val="Body Text 3"/>
    <w:basedOn w:val="1"/>
    <w:qFormat/>
    <w:uiPriority w:val="99"/>
    <w:pPr>
      <w:tabs>
        <w:tab w:val="left" w:pos="1624"/>
      </w:tabs>
      <w:autoSpaceDE w:val="0"/>
      <w:autoSpaceDN w:val="0"/>
      <w:adjustRightInd w:val="0"/>
      <w:spacing w:line="400" w:lineRule="exact"/>
    </w:pPr>
    <w:rPr>
      <w:rFonts w:ascii="Calibri" w:hAnsi="Calibri" w:eastAsia="宋体" w:cs="Times New Roman"/>
      <w:color w:val="000000"/>
      <w:kern w:val="0"/>
      <w:sz w:val="20"/>
    </w:rPr>
  </w:style>
  <w:style w:type="paragraph" w:styleId="12">
    <w:name w:val="Body Text"/>
    <w:basedOn w:val="1"/>
    <w:qFormat/>
    <w:uiPriority w:val="1"/>
    <w:rPr>
      <w:sz w:val="24"/>
    </w:rPr>
  </w:style>
  <w:style w:type="paragraph" w:styleId="13">
    <w:name w:val="Body Text Indent"/>
    <w:basedOn w:val="1"/>
    <w:next w:val="1"/>
    <w:qFormat/>
    <w:uiPriority w:val="0"/>
    <w:pPr>
      <w:ind w:firstLine="540"/>
    </w:pPr>
    <w:rPr>
      <w:rFonts w:ascii="宋体"/>
      <w:sz w:val="28"/>
      <w:szCs w:val="20"/>
    </w:rPr>
  </w:style>
  <w:style w:type="paragraph" w:styleId="14">
    <w:name w:val="Plain Text"/>
    <w:basedOn w:val="1"/>
    <w:qFormat/>
    <w:uiPriority w:val="0"/>
    <w:rPr>
      <w:rFonts w:ascii="宋体" w:hAnsi="Courier New"/>
    </w:rPr>
  </w:style>
  <w:style w:type="paragraph" w:styleId="15">
    <w:name w:val="Balloon Text"/>
    <w:basedOn w:val="1"/>
    <w:link w:val="82"/>
    <w:qFormat/>
    <w:uiPriority w:val="0"/>
    <w:rPr>
      <w:sz w:val="18"/>
      <w:szCs w:val="18"/>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9">
    <w:name w:val="Normal (Web)"/>
    <w:basedOn w:val="1"/>
    <w:qFormat/>
    <w:uiPriority w:val="99"/>
    <w:pPr>
      <w:spacing w:beforeAutospacing="1" w:afterAutospacing="1"/>
      <w:jc w:val="left"/>
    </w:pPr>
    <w:rPr>
      <w:rFonts w:cs="Times New Roman"/>
      <w:kern w:val="0"/>
      <w:sz w:val="24"/>
    </w:rPr>
  </w:style>
  <w:style w:type="paragraph" w:styleId="20">
    <w:name w:val="Body Text First Indent 2"/>
    <w:basedOn w:val="13"/>
    <w:qFormat/>
    <w:uiPriority w:val="0"/>
    <w:pPr>
      <w:spacing w:after="120"/>
      <w:ind w:left="420" w:firstLine="420"/>
    </w:pPr>
    <w:rPr>
      <w:rFonts w:ascii="Times New Roman"/>
      <w:sz w:val="21"/>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22"/>
    <w:rPr>
      <w:b/>
      <w:bCs/>
    </w:rPr>
  </w:style>
  <w:style w:type="character" w:styleId="25">
    <w:name w:val="FollowedHyperlink"/>
    <w:basedOn w:val="23"/>
    <w:qFormat/>
    <w:uiPriority w:val="0"/>
    <w:rPr>
      <w:color w:val="800080"/>
      <w:u w:val="none"/>
    </w:rPr>
  </w:style>
  <w:style w:type="character" w:styleId="26">
    <w:name w:val="Emphasis"/>
    <w:basedOn w:val="23"/>
    <w:qFormat/>
    <w:uiPriority w:val="20"/>
    <w:rPr>
      <w:i/>
      <w:iCs/>
    </w:rPr>
  </w:style>
  <w:style w:type="character" w:styleId="27">
    <w:name w:val="HTML Definition"/>
    <w:basedOn w:val="23"/>
    <w:qFormat/>
    <w:uiPriority w:val="0"/>
  </w:style>
  <w:style w:type="character" w:styleId="28">
    <w:name w:val="HTML Typewriter"/>
    <w:basedOn w:val="23"/>
    <w:qFormat/>
    <w:uiPriority w:val="0"/>
    <w:rPr>
      <w:rFonts w:hint="default" w:ascii="monospace" w:hAnsi="monospace" w:eastAsia="monospace" w:cs="monospace"/>
      <w:sz w:val="20"/>
    </w:rPr>
  </w:style>
  <w:style w:type="character" w:styleId="29">
    <w:name w:val="HTML Acronym"/>
    <w:basedOn w:val="23"/>
    <w:qFormat/>
    <w:uiPriority w:val="0"/>
  </w:style>
  <w:style w:type="character" w:styleId="30">
    <w:name w:val="HTML Variable"/>
    <w:basedOn w:val="23"/>
    <w:qFormat/>
    <w:uiPriority w:val="0"/>
  </w:style>
  <w:style w:type="character" w:styleId="31">
    <w:name w:val="Hyperlink"/>
    <w:basedOn w:val="23"/>
    <w:qFormat/>
    <w:uiPriority w:val="0"/>
    <w:rPr>
      <w:color w:val="0000FF"/>
      <w:u w:val="none"/>
    </w:rPr>
  </w:style>
  <w:style w:type="character" w:styleId="32">
    <w:name w:val="HTML Code"/>
    <w:basedOn w:val="23"/>
    <w:qFormat/>
    <w:uiPriority w:val="0"/>
    <w:rPr>
      <w:rFonts w:hint="default" w:ascii="monospace" w:hAnsi="monospace" w:eastAsia="monospace" w:cs="monospace"/>
      <w:sz w:val="20"/>
    </w:rPr>
  </w:style>
  <w:style w:type="character" w:styleId="33">
    <w:name w:val="HTML Cite"/>
    <w:basedOn w:val="23"/>
    <w:qFormat/>
    <w:uiPriority w:val="0"/>
  </w:style>
  <w:style w:type="character" w:styleId="34">
    <w:name w:val="HTML Keyboard"/>
    <w:basedOn w:val="23"/>
    <w:qFormat/>
    <w:uiPriority w:val="0"/>
    <w:rPr>
      <w:rFonts w:hint="default" w:ascii="monospace" w:hAnsi="monospace" w:eastAsia="monospace" w:cs="monospace"/>
      <w:sz w:val="20"/>
    </w:rPr>
  </w:style>
  <w:style w:type="character" w:styleId="35">
    <w:name w:val="HTML Sample"/>
    <w:basedOn w:val="23"/>
    <w:qFormat/>
    <w:uiPriority w:val="0"/>
    <w:rPr>
      <w:rFonts w:ascii="monospace" w:hAnsi="monospace" w:eastAsia="monospace" w:cs="monospace"/>
    </w:rPr>
  </w:style>
  <w:style w:type="character" w:customStyle="1" w:styleId="36">
    <w:name w:val="fontstyle01"/>
    <w:basedOn w:val="23"/>
    <w:qFormat/>
    <w:uiPriority w:val="0"/>
    <w:rPr>
      <w:rFonts w:hint="eastAsia" w:ascii="仿宋_GB2312" w:eastAsia="仿宋_GB2312"/>
      <w:color w:val="000000"/>
      <w:sz w:val="22"/>
      <w:szCs w:val="22"/>
    </w:rPr>
  </w:style>
  <w:style w:type="character" w:customStyle="1" w:styleId="37">
    <w:name w:val="标题 3 Char"/>
    <w:basedOn w:val="23"/>
    <w:link w:val="5"/>
    <w:qFormat/>
    <w:uiPriority w:val="9"/>
    <w:rPr>
      <w:rFonts w:ascii="宋体" w:hAnsi="宋体" w:cs="宋体"/>
      <w:b/>
      <w:bCs/>
      <w:sz w:val="27"/>
      <w:szCs w:val="27"/>
    </w:rPr>
  </w:style>
  <w:style w:type="character" w:customStyle="1" w:styleId="38">
    <w:name w:val="标题 2 Char"/>
    <w:basedOn w:val="23"/>
    <w:link w:val="4"/>
    <w:semiHidden/>
    <w:qFormat/>
    <w:uiPriority w:val="0"/>
    <w:rPr>
      <w:rFonts w:asciiTheme="majorHAnsi" w:hAnsiTheme="majorHAnsi" w:eastAsiaTheme="majorEastAsia" w:cstheme="majorBidi"/>
      <w:b/>
      <w:bCs/>
      <w:kern w:val="2"/>
      <w:sz w:val="32"/>
      <w:szCs w:val="32"/>
    </w:rPr>
  </w:style>
  <w:style w:type="character" w:customStyle="1" w:styleId="39">
    <w:name w:val="editinput2"/>
    <w:basedOn w:val="23"/>
    <w:qFormat/>
    <w:uiPriority w:val="0"/>
  </w:style>
  <w:style w:type="character" w:customStyle="1" w:styleId="40">
    <w:name w:val="文档结构图 Char"/>
    <w:basedOn w:val="23"/>
    <w:link w:val="9"/>
    <w:qFormat/>
    <w:uiPriority w:val="0"/>
    <w:rPr>
      <w:rFonts w:ascii="宋体" w:hAnsiTheme="minorHAnsi" w:cstheme="minorBidi"/>
      <w:kern w:val="2"/>
      <w:sz w:val="18"/>
      <w:szCs w:val="18"/>
    </w:rPr>
  </w:style>
  <w:style w:type="paragraph" w:styleId="41">
    <w:name w:val="List Paragraph"/>
    <w:basedOn w:val="1"/>
    <w:qFormat/>
    <w:uiPriority w:val="99"/>
    <w:pPr>
      <w:ind w:left="1260" w:firstLine="479"/>
    </w:pPr>
  </w:style>
  <w:style w:type="paragraph" w:customStyle="1" w:styleId="42">
    <w:name w:val="Table Paragraph"/>
    <w:basedOn w:val="1"/>
    <w:qFormat/>
    <w:uiPriority w:val="1"/>
  </w:style>
  <w:style w:type="character" w:customStyle="1" w:styleId="43">
    <w:name w:val="first-child"/>
    <w:basedOn w:val="23"/>
    <w:qFormat/>
    <w:uiPriority w:val="0"/>
  </w:style>
  <w:style w:type="character" w:customStyle="1" w:styleId="44">
    <w:name w:val="layui-layer-tabnow"/>
    <w:basedOn w:val="23"/>
    <w:qFormat/>
    <w:uiPriority w:val="0"/>
    <w:rPr>
      <w:bdr w:val="single" w:color="CCCCCC" w:sz="6" w:space="0"/>
      <w:shd w:val="clear" w:color="auto" w:fill="FFFFFF"/>
    </w:rPr>
  </w:style>
  <w:style w:type="paragraph" w:customStyle="1" w:styleId="45">
    <w:name w:val="列出段落1"/>
    <w:basedOn w:val="1"/>
    <w:qFormat/>
    <w:uiPriority w:val="0"/>
    <w:pPr>
      <w:ind w:firstLine="420" w:firstLineChars="200"/>
    </w:pPr>
    <w:rPr>
      <w:rFonts w:ascii="Calibri" w:hAnsi="Calibri"/>
      <w:szCs w:val="22"/>
    </w:rPr>
  </w:style>
  <w:style w:type="paragraph" w:customStyle="1" w:styleId="46">
    <w:name w:val="列表段落1"/>
    <w:basedOn w:val="1"/>
    <w:qFormat/>
    <w:uiPriority w:val="34"/>
    <w:pPr>
      <w:ind w:firstLine="420" w:firstLineChars="200"/>
    </w:pPr>
  </w:style>
  <w:style w:type="character" w:customStyle="1" w:styleId="47">
    <w:name w:val="prev"/>
    <w:basedOn w:val="23"/>
    <w:qFormat/>
    <w:uiPriority w:val="0"/>
    <w:rPr>
      <w:rFonts w:ascii="微软雅黑" w:hAnsi="微软雅黑" w:eastAsia="微软雅黑" w:cs="微软雅黑"/>
      <w:sz w:val="21"/>
      <w:szCs w:val="21"/>
    </w:rPr>
  </w:style>
  <w:style w:type="character" w:customStyle="1" w:styleId="48">
    <w:name w:val="prev1"/>
    <w:basedOn w:val="23"/>
    <w:qFormat/>
    <w:uiPriority w:val="0"/>
    <w:rPr>
      <w:color w:val="888888"/>
    </w:rPr>
  </w:style>
  <w:style w:type="character" w:customStyle="1" w:styleId="49">
    <w:name w:val="redfilefwwh"/>
    <w:basedOn w:val="23"/>
    <w:qFormat/>
    <w:uiPriority w:val="0"/>
    <w:rPr>
      <w:color w:val="BA2636"/>
      <w:sz w:val="18"/>
      <w:szCs w:val="18"/>
    </w:rPr>
  </w:style>
  <w:style w:type="character" w:customStyle="1" w:styleId="50">
    <w:name w:val="qxdate"/>
    <w:basedOn w:val="23"/>
    <w:qFormat/>
    <w:uiPriority w:val="0"/>
    <w:rPr>
      <w:color w:val="333333"/>
      <w:sz w:val="18"/>
      <w:szCs w:val="18"/>
    </w:rPr>
  </w:style>
  <w:style w:type="character" w:customStyle="1" w:styleId="51">
    <w:name w:val="redfilenumber"/>
    <w:basedOn w:val="23"/>
    <w:qFormat/>
    <w:uiPriority w:val="0"/>
    <w:rPr>
      <w:color w:val="BA2636"/>
      <w:sz w:val="18"/>
      <w:szCs w:val="18"/>
    </w:rPr>
  </w:style>
  <w:style w:type="character" w:customStyle="1" w:styleId="52">
    <w:name w:val="displayarti"/>
    <w:basedOn w:val="23"/>
    <w:qFormat/>
    <w:uiPriority w:val="0"/>
    <w:rPr>
      <w:color w:val="FFFFFF"/>
      <w:shd w:val="clear" w:color="auto" w:fill="A00000"/>
    </w:rPr>
  </w:style>
  <w:style w:type="character" w:customStyle="1" w:styleId="53">
    <w:name w:val="next"/>
    <w:basedOn w:val="23"/>
    <w:qFormat/>
    <w:uiPriority w:val="0"/>
    <w:rPr>
      <w:rFonts w:hint="eastAsia" w:ascii="微软雅黑" w:hAnsi="微软雅黑" w:eastAsia="微软雅黑" w:cs="微软雅黑"/>
      <w:sz w:val="21"/>
      <w:szCs w:val="21"/>
    </w:rPr>
  </w:style>
  <w:style w:type="character" w:customStyle="1" w:styleId="54">
    <w:name w:val="next1"/>
    <w:basedOn w:val="23"/>
    <w:qFormat/>
    <w:uiPriority w:val="0"/>
    <w:rPr>
      <w:color w:val="888888"/>
    </w:rPr>
  </w:style>
  <w:style w:type="character" w:customStyle="1" w:styleId="55">
    <w:name w:val="cfdate"/>
    <w:basedOn w:val="23"/>
    <w:qFormat/>
    <w:uiPriority w:val="0"/>
    <w:rPr>
      <w:color w:val="333333"/>
      <w:sz w:val="18"/>
      <w:szCs w:val="18"/>
    </w:rPr>
  </w:style>
  <w:style w:type="character" w:customStyle="1" w:styleId="56">
    <w:name w:val="gjfg"/>
    <w:basedOn w:val="23"/>
    <w:qFormat/>
    <w:uiPriority w:val="0"/>
  </w:style>
  <w:style w:type="character" w:customStyle="1" w:styleId="57">
    <w:name w:val="index-module_large_1mscr1"/>
    <w:basedOn w:val="23"/>
    <w:qFormat/>
    <w:uiPriority w:val="0"/>
  </w:style>
  <w:style w:type="paragraph" w:customStyle="1" w:styleId="58">
    <w:name w:val="Heading2"/>
    <w:basedOn w:val="1"/>
    <w:next w:val="1"/>
    <w:qFormat/>
    <w:uiPriority w:val="0"/>
    <w:pPr>
      <w:keepNext/>
      <w:keepLines/>
      <w:spacing w:before="260" w:after="260" w:line="413" w:lineRule="auto"/>
      <w:textAlignment w:val="baseline"/>
    </w:pPr>
    <w:rPr>
      <w:rFonts w:ascii="Arial" w:hAnsi="Arial" w:eastAsia="黑体"/>
      <w:b/>
      <w:kern w:val="0"/>
      <w:sz w:val="32"/>
      <w:szCs w:val="20"/>
    </w:rPr>
  </w:style>
  <w:style w:type="character" w:customStyle="1" w:styleId="59">
    <w:name w:val="fontborder"/>
    <w:basedOn w:val="23"/>
    <w:qFormat/>
    <w:uiPriority w:val="0"/>
    <w:rPr>
      <w:bdr w:val="single" w:color="000000" w:sz="6" w:space="0"/>
    </w:rPr>
  </w:style>
  <w:style w:type="character" w:customStyle="1" w:styleId="60">
    <w:name w:val="fontstrikethrough"/>
    <w:basedOn w:val="23"/>
    <w:qFormat/>
    <w:uiPriority w:val="0"/>
    <w:rPr>
      <w:strike/>
    </w:rPr>
  </w:style>
  <w:style w:type="character" w:customStyle="1" w:styleId="61">
    <w:name w:val="first-child9"/>
    <w:basedOn w:val="23"/>
    <w:qFormat/>
    <w:uiPriority w:val="0"/>
  </w:style>
  <w:style w:type="character" w:customStyle="1" w:styleId="62">
    <w:name w:val="layui-this"/>
    <w:basedOn w:val="23"/>
    <w:qFormat/>
    <w:uiPriority w:val="0"/>
    <w:rPr>
      <w:bdr w:val="single" w:color="EEEEEE" w:sz="6" w:space="0"/>
      <w:shd w:val="clear" w:color="auto" w:fill="FFFFFF"/>
    </w:rPr>
  </w:style>
  <w:style w:type="character" w:customStyle="1" w:styleId="63">
    <w:name w:val="hover56"/>
    <w:basedOn w:val="23"/>
    <w:qFormat/>
    <w:uiPriority w:val="0"/>
    <w:rPr>
      <w:color w:val="FFFFFF"/>
    </w:rPr>
  </w:style>
  <w:style w:type="character" w:customStyle="1" w:styleId="64">
    <w:name w:val="hover57"/>
    <w:basedOn w:val="23"/>
    <w:qFormat/>
    <w:uiPriority w:val="0"/>
    <w:rPr>
      <w:color w:val="FFFFFF"/>
      <w:shd w:val="clear" w:color="auto" w:fill="FF0000"/>
    </w:rPr>
  </w:style>
  <w:style w:type="character" w:customStyle="1" w:styleId="65">
    <w:name w:val="c_span2"/>
    <w:basedOn w:val="23"/>
    <w:qFormat/>
    <w:uiPriority w:val="0"/>
  </w:style>
  <w:style w:type="character" w:customStyle="1" w:styleId="66">
    <w:name w:val="time8"/>
    <w:basedOn w:val="23"/>
    <w:qFormat/>
    <w:uiPriority w:val="0"/>
  </w:style>
  <w:style w:type="character" w:customStyle="1" w:styleId="67">
    <w:name w:val="hover27"/>
    <w:basedOn w:val="23"/>
    <w:qFormat/>
    <w:uiPriority w:val="0"/>
  </w:style>
  <w:style w:type="character" w:customStyle="1" w:styleId="68">
    <w:name w:val="hover28"/>
    <w:basedOn w:val="23"/>
    <w:qFormat/>
    <w:uiPriority w:val="0"/>
    <w:rPr>
      <w:color w:val="315EFB"/>
    </w:rPr>
  </w:style>
  <w:style w:type="character" w:customStyle="1" w:styleId="69">
    <w:name w:val="c-icon32"/>
    <w:basedOn w:val="23"/>
    <w:qFormat/>
    <w:uiPriority w:val="0"/>
  </w:style>
  <w:style w:type="character" w:customStyle="1" w:styleId="70">
    <w:name w:val="c-icon30"/>
    <w:basedOn w:val="23"/>
    <w:qFormat/>
    <w:uiPriority w:val="0"/>
  </w:style>
  <w:style w:type="character" w:customStyle="1" w:styleId="71">
    <w:name w:val="hover25"/>
    <w:basedOn w:val="23"/>
    <w:qFormat/>
    <w:uiPriority w:val="0"/>
    <w:rPr>
      <w:color w:val="315EFB"/>
    </w:rPr>
  </w:style>
  <w:style w:type="character" w:customStyle="1" w:styleId="72">
    <w:name w:val="hover26"/>
    <w:basedOn w:val="23"/>
    <w:qFormat/>
    <w:uiPriority w:val="0"/>
  </w:style>
  <w:style w:type="character" w:customStyle="1" w:styleId="73">
    <w:name w:val="content-right_8zs401"/>
    <w:basedOn w:val="23"/>
    <w:qFormat/>
    <w:uiPriority w:val="0"/>
  </w:style>
  <w:style w:type="character" w:customStyle="1" w:styleId="74">
    <w:name w:val="hover"/>
    <w:basedOn w:val="23"/>
    <w:qFormat/>
    <w:uiPriority w:val="0"/>
  </w:style>
  <w:style w:type="character" w:customStyle="1" w:styleId="75">
    <w:name w:val="hover1"/>
    <w:basedOn w:val="23"/>
    <w:qFormat/>
    <w:uiPriority w:val="0"/>
    <w:rPr>
      <w:color w:val="315EFB"/>
    </w:rPr>
  </w:style>
  <w:style w:type="character" w:customStyle="1" w:styleId="76">
    <w:name w:val="c-icon"/>
    <w:basedOn w:val="23"/>
    <w:qFormat/>
    <w:uiPriority w:val="0"/>
  </w:style>
  <w:style w:type="paragraph" w:customStyle="1" w:styleId="77">
    <w:name w:val="mt2"/>
    <w:basedOn w:val="1"/>
    <w:qFormat/>
    <w:uiPriority w:val="0"/>
    <w:pPr>
      <w:spacing w:before="300"/>
      <w:jc w:val="left"/>
    </w:pPr>
    <w:rPr>
      <w:rFonts w:cs="Times New Roman"/>
      <w:kern w:val="0"/>
    </w:rPr>
  </w:style>
  <w:style w:type="character" w:customStyle="1" w:styleId="78">
    <w:name w:val="bg"/>
    <w:basedOn w:val="23"/>
    <w:qFormat/>
    <w:uiPriority w:val="0"/>
  </w:style>
  <w:style w:type="character" w:customStyle="1" w:styleId="79">
    <w:name w:val="mt21"/>
    <w:basedOn w:val="23"/>
    <w:qFormat/>
    <w:uiPriority w:val="0"/>
  </w:style>
  <w:style w:type="character" w:customStyle="1" w:styleId="80">
    <w:name w:val="hover3"/>
    <w:basedOn w:val="23"/>
    <w:qFormat/>
    <w:uiPriority w:val="0"/>
    <w:rPr>
      <w:color w:val="315EFB"/>
    </w:rPr>
  </w:style>
  <w:style w:type="character" w:customStyle="1" w:styleId="81">
    <w:name w:val="index-module_accountauthentication_3bwix"/>
    <w:basedOn w:val="23"/>
    <w:qFormat/>
    <w:uiPriority w:val="0"/>
  </w:style>
  <w:style w:type="character" w:customStyle="1" w:styleId="82">
    <w:name w:val="批注框文本 Char"/>
    <w:basedOn w:val="23"/>
    <w:link w:val="15"/>
    <w:qFormat/>
    <w:uiPriority w:val="0"/>
    <w:rPr>
      <w:rFonts w:asciiTheme="minorHAnsi" w:hAnsiTheme="minorHAnsi" w:eastAsiaTheme="minorEastAsia" w:cstheme="minorBidi"/>
      <w:kern w:val="2"/>
      <w:sz w:val="18"/>
      <w:szCs w:val="18"/>
    </w:rPr>
  </w:style>
  <w:style w:type="paragraph" w:customStyle="1" w:styleId="83">
    <w:name w:val="ql-align-center"/>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84">
    <w:name w:val="ql-align-justify"/>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85">
    <w:name w:val="ql-align-right"/>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86">
    <w:name w:val="Table Text"/>
    <w:basedOn w:val="1"/>
    <w:semiHidden/>
    <w:qFormat/>
    <w:uiPriority w:val="0"/>
    <w:rPr>
      <w:rFonts w:ascii="仿宋" w:hAnsi="仿宋" w:eastAsia="仿宋" w:cs="仿宋"/>
      <w:sz w:val="24"/>
      <w:szCs w:val="24"/>
      <w:lang w:val="en-US" w:eastAsia="en-US" w:bidi="ar-SA"/>
    </w:rPr>
  </w:style>
  <w:style w:type="table" w:customStyle="1" w:styleId="87">
    <w:name w:val="Table Normal"/>
    <w:semiHidden/>
    <w:unhideWhenUsed/>
    <w:qFormat/>
    <w:uiPriority w:val="0"/>
    <w:tblPr>
      <w:tblCellMar>
        <w:top w:w="0" w:type="dxa"/>
        <w:left w:w="0" w:type="dxa"/>
        <w:bottom w:w="0" w:type="dxa"/>
        <w:right w:w="0" w:type="dxa"/>
      </w:tblCellMar>
    </w:tblPr>
  </w:style>
  <w:style w:type="paragraph" w:customStyle="1" w:styleId="88">
    <w:name w:val="采购需求样式"/>
    <w:qFormat/>
    <w:uiPriority w:val="0"/>
    <w:pPr>
      <w:spacing w:before="47" w:line="222" w:lineRule="auto"/>
      <w:ind w:firstLine="562" w:firstLineChars="200"/>
      <w:outlineLvl w:val="1"/>
    </w:pPr>
    <w:rPr>
      <w:rFonts w:hint="eastAsia" w:ascii="宋体" w:hAnsi="宋体" w:eastAsia="宋体" w:cs="Times New Roman"/>
      <w:b/>
      <w:color w:val="000000"/>
      <w:sz w:val="28"/>
      <w:szCs w:val="28"/>
    </w:rPr>
  </w:style>
  <w:style w:type="character" w:customStyle="1" w:styleId="89">
    <w:name w:val="font61"/>
    <w:basedOn w:val="23"/>
    <w:qFormat/>
    <w:uiPriority w:val="0"/>
    <w:rPr>
      <w:rFonts w:hint="eastAsia" w:ascii="宋体" w:hAnsi="宋体" w:eastAsia="宋体" w:cs="宋体"/>
      <w:color w:val="000000"/>
      <w:sz w:val="22"/>
      <w:szCs w:val="22"/>
      <w:u w:val="none"/>
    </w:rPr>
  </w:style>
  <w:style w:type="character" w:customStyle="1" w:styleId="90">
    <w:name w:val="font51"/>
    <w:basedOn w:val="2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3727C3-5A2E-42D5-AE98-4CC37E161FF8}">
  <ds:schemaRefs/>
</ds:datastoreItem>
</file>

<file path=docProps/app.xml><?xml version="1.0" encoding="utf-8"?>
<Properties xmlns="http://schemas.openxmlformats.org/officeDocument/2006/extended-properties" xmlns:vt="http://schemas.openxmlformats.org/officeDocument/2006/docPropsVTypes">
  <Template>Normal</Template>
  <Pages>6</Pages>
  <Words>1359</Words>
  <Characters>1369</Characters>
  <Lines>111</Lines>
  <Paragraphs>31</Paragraphs>
  <TotalTime>1</TotalTime>
  <ScaleCrop>false</ScaleCrop>
  <LinksUpToDate>false</LinksUpToDate>
  <CharactersWithSpaces>1437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2022-06-07T08:30:00Z</dcterms:created>
  <dc:creator>Administrator</dc:creator>
  <cp:lastModifiedBy>木槿柒柒</cp:lastModifiedBy>
  <cp:lastPrinted>2021-10-28T05:46:00Z</cp:lastPrinted>
  <dcterms:modified xsi:type="dcterms:W3CDTF">2026-10-09T01:18:00Z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4A8551ADFB14424FAB21F6B9BADC4800_13</vt:lpwstr>
  </property>
  <property fmtid="{D5CDD505-2E9C-101B-9397-08002B2CF9AE}" pid="4" name="KSOTemplateDocerSaveRecord">
    <vt:lpwstr>eyJoZGlkIjoiMDU4YmE0MzJhNmYyMTcxM2YyYjRmZTk4NWM2ZjY3OTYiLCJ1c2VySWQiOiIzODMxODQ3OTYifQ==</vt:lpwstr>
  </property>
</Properties>
</file>