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序号22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高档彩超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主要用途：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主要用于腹部、妇产、小儿心脏、成人心脏、泌尿、外周血管、浅表器官、肌肉骨骼、神经、造影、介入等方面的临床诊断和科研教学工作，具备持续升级能力，能满足开展新的临床应用需求。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主要性能指标：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1、高端机型；2、探头数量6把：成人心脏探头1把、腹部探头1把、纯净波浅表探头1把、腔内探头1把、新生儿头颅及心脏探头1把、浅表矩阵探头1把；3、具有造影软件；4、具有穿刺功能；5、具有微视血流成像技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三、基本参数：1、全数字化高端彩色多普勒诊断仪系统主1套；2、显示器≥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sz w:val="28"/>
          <w:szCs w:val="28"/>
        </w:rPr>
        <w:t>英寸；3、触摸屏≥1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英寸；4、探头接口≥4个；5、具有DICOM3.0接口；6、具有造影软件，具有实时双幅造影对比成像模式，并可矩阵容积造影成像技术；7、具备弹性成像技术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及定量测量软件</w:t>
      </w:r>
      <w:r>
        <w:rPr>
          <w:rFonts w:hint="eastAsia" w:ascii="宋体" w:hAnsi="宋体" w:eastAsia="宋体" w:cs="宋体"/>
          <w:sz w:val="28"/>
          <w:szCs w:val="28"/>
        </w:rPr>
        <w:t>；8、具备术者模式，可实时双屏显示；9、具有微视血流成像技术，可捕捉超微细血流及超低速血流信号，支持凸阵、线阵探头。10、具备矩阵全景容积成像技术：支持凸阵探头和线阵探头。11、具备脑卒中疾病诊断相关技术，可自动记录颈总动脉和颈内动脉的近端、中端、远端的血流速度测量结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12、探头类型及数量：腹部探头一把、成人心脏探头一把、新生儿头颅及心脏探头一把、浅表探头一把、浅表矩阵探头一把、腔内探头一把</w:t>
      </w:r>
    </w:p>
    <w:sectPr>
      <w:pgSz w:w="11906" w:h="16838"/>
      <w:pgMar w:top="567" w:right="1800" w:bottom="5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EF9A19"/>
    <w:multiLevelType w:val="singleLevel"/>
    <w:tmpl w:val="CAEF9A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37A45"/>
    <w:rsid w:val="2FA97162"/>
    <w:rsid w:val="3A51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2021-05-06T03:24:00Z</dcterms:created>
  <dc:creator>86136</dc:creator>
  <cp:lastModifiedBy>叶梅</cp:lastModifiedBy>
  <dcterms:modified xsi:type="dcterms:W3CDTF">2021-05-08T05:08:20Z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7562A30711304CD595CA68E85AC34927</vt:lpwstr>
  </property>
</Properties>
</file>